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2" w:rsidRDefault="00C575A2" w:rsidP="00E238BB">
      <w:pPr>
        <w:jc w:val="both"/>
      </w:pPr>
    </w:p>
    <w:p w:rsidR="00C575A2" w:rsidRDefault="00C575A2" w:rsidP="00E238BB">
      <w:pPr>
        <w:jc w:val="both"/>
      </w:pPr>
      <w:r>
        <w:t xml:space="preserve">Acquisiti i pareri favorevoli ex artt. 49 e 147 bis </w:t>
      </w:r>
      <w:proofErr w:type="spellStart"/>
      <w:r>
        <w:t>dlgs</w:t>
      </w:r>
      <w:proofErr w:type="spellEnd"/>
      <w:r>
        <w:t xml:space="preserve"> n. 267/2000; </w:t>
      </w:r>
    </w:p>
    <w:p w:rsidR="00F1456E" w:rsidRDefault="00F1456E" w:rsidP="00E238BB">
      <w:pPr>
        <w:jc w:val="both"/>
      </w:pPr>
    </w:p>
    <w:p w:rsidR="00F1456E" w:rsidRPr="00FF50A8" w:rsidRDefault="00F1456E" w:rsidP="00F1456E">
      <w:pPr>
        <w:jc w:val="both"/>
        <w:rPr>
          <w:szCs w:val="20"/>
        </w:rPr>
      </w:pPr>
      <w:r w:rsidRPr="000D3950">
        <w:rPr>
          <w:szCs w:val="20"/>
        </w:rPr>
        <w:t>Dato atto che, ai sensi dell’art. 49, comma 1, non è necessario il parere contabile in quanto l’atto non comporta riflessi diretti o indiretti sulla situazione economico finanziaria o sul patrimoniodell'ente</w:t>
      </w:r>
      <w:r>
        <w:rPr>
          <w:szCs w:val="20"/>
        </w:rPr>
        <w:t>;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 w:rsidRPr="00FF50A8">
        <w:rPr>
          <w:szCs w:val="20"/>
        </w:rPr>
        <w:t>Premesso:</w:t>
      </w:r>
    </w:p>
    <w:p w:rsidR="00F1456E" w:rsidRDefault="00F1456E" w:rsidP="00F1456E">
      <w:pPr>
        <w:jc w:val="both"/>
        <w:rPr>
          <w:bCs/>
          <w:szCs w:val="20"/>
        </w:rPr>
      </w:pPr>
      <w:r>
        <w:rPr>
          <w:szCs w:val="20"/>
        </w:rPr>
        <w:t>- che la legge n. 190 del 06-11-</w:t>
      </w:r>
      <w:smartTag w:uri="urn:schemas-microsoft-com:office:smarttags" w:element="metricconverter">
        <w:smartTagPr>
          <w:attr w:name="ProductID" w:val="2012 ha"/>
        </w:smartTagPr>
        <w:r>
          <w:rPr>
            <w:szCs w:val="20"/>
          </w:rPr>
          <w:t>2012 ha</w:t>
        </w:r>
      </w:smartTag>
      <w:r>
        <w:rPr>
          <w:szCs w:val="20"/>
        </w:rPr>
        <w:t xml:space="preserve"> introdotto le nuove “d</w:t>
      </w:r>
      <w:r w:rsidRPr="003944B4">
        <w:rPr>
          <w:bCs/>
          <w:szCs w:val="20"/>
        </w:rPr>
        <w:t>isposizioni per la prevenzione e la repressione della corruzione e dell'illegalità nella pubblica amministrazione</w:t>
      </w:r>
      <w:r>
        <w:rPr>
          <w:bCs/>
          <w:szCs w:val="20"/>
        </w:rPr>
        <w:t>”;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- che la legge assegna all’organo di indirizzo politico il compito di adottare, </w:t>
      </w:r>
      <w:r w:rsidRPr="00790E13">
        <w:rPr>
          <w:szCs w:val="20"/>
        </w:rPr>
        <w:t xml:space="preserve">entro il 31 gennaio di ogni anno, </w:t>
      </w:r>
      <w:r>
        <w:rPr>
          <w:szCs w:val="20"/>
        </w:rPr>
        <w:t>il</w:t>
      </w:r>
      <w:r w:rsidRPr="00790E13">
        <w:rPr>
          <w:szCs w:val="20"/>
        </w:rPr>
        <w:t xml:space="preserve"> piano triennale di prevenzione della corruzione, curandone la trasmissione al Dipartimento della funzione pubblica</w:t>
      </w:r>
      <w:r>
        <w:rPr>
          <w:szCs w:val="20"/>
        </w:rPr>
        <w:t xml:space="preserve"> (art. 1, cc. 7 e 8). </w:t>
      </w:r>
    </w:p>
    <w:p w:rsidR="00F1456E" w:rsidRDefault="00F1456E" w:rsidP="00F1456E">
      <w:pPr>
        <w:jc w:val="both"/>
        <w:rPr>
          <w:szCs w:val="20"/>
        </w:rPr>
      </w:pP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>Preso atto dei contenuti e delle finalità del Piano triennale, così come definiti dall’art. 1, c. 9, L. n. 190/12: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>c. 9.  Il piano di cui al comma 5 risponde alle seguenti esigenze: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 xml:space="preserve">a)  individuare le attività, tra le quali quelle di cui al comma 16, nell'ambito delle quali è più elevato il rischio di corruzione, anche raccogliendo le proposte dei dirigenti, elaborate nell'esercizio delle competenze previste dall'articolo 16, comma 1, lettera a-bis), del decreto legislativo 30 marzo 2001, n. 165; 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 xml:space="preserve">b)  prevedere, per le attività individuate ai sensi della lettera a), meccanismi di formazione, attuazione e controllo delle decisioni idonei a prevenire il rischio di corruzione; 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 xml:space="preserve">c)  prevedere, con particolare riguardo alle attività individuate ai sensi della lettera a), obblighi di informazione nei confronti del responsabile, individuato ai sensi del comma 7, chiamato a vigilare sul funzionamento e sull'osservanza del piano; 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 xml:space="preserve">d)  monitorare il rispetto dei termini, previsti dalla legge o dai regolamenti, per la conclusione dei procedimenti; </w:t>
      </w:r>
    </w:p>
    <w:p w:rsidR="00F1456E" w:rsidRPr="006D42FF" w:rsidRDefault="00F1456E" w:rsidP="00F1456E">
      <w:pPr>
        <w:jc w:val="both"/>
        <w:rPr>
          <w:szCs w:val="20"/>
        </w:rPr>
      </w:pPr>
      <w:r w:rsidRPr="006D42FF">
        <w:rPr>
          <w:szCs w:val="20"/>
        </w:rPr>
        <w:t xml:space="preserve">e)  monitorare i rapporti tra l'amministrazione e i soggetti che con la stessa stipulano contratti o che sono interessati a procedimenti di autorizzazione, concessione o erogazione di vantaggi economici di qualunque genere, anche verificando eventuali relazioni di parentela o affinità sussistenti tra i titolari, gli amministratori, i soci e i dipendenti degli stessi soggetti e i dirigenti e i dipendenti dell'amministrazione; </w:t>
      </w:r>
    </w:p>
    <w:p w:rsidR="00F1456E" w:rsidRDefault="00F1456E" w:rsidP="00F1456E">
      <w:pPr>
        <w:jc w:val="both"/>
        <w:rPr>
          <w:szCs w:val="20"/>
        </w:rPr>
      </w:pPr>
      <w:r w:rsidRPr="006D42FF">
        <w:rPr>
          <w:szCs w:val="20"/>
        </w:rPr>
        <w:t>f)  individuare specifici obblighi di trasparenza ulteriori rispetto a quelli previsti da disposizioni di legge.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- che con precedente atto si è provveduto alla individuazione del Responsabile per la prevenzione della corruzione ai sensi dell’art. 1, c. </w:t>
      </w:r>
      <w:smartTag w:uri="urn:schemas-microsoft-com:office:smarttags" w:element="metricconverter">
        <w:smartTagPr>
          <w:attr w:name="ProductID" w:val="7, L"/>
        </w:smartTagPr>
        <w:r>
          <w:rPr>
            <w:szCs w:val="20"/>
          </w:rPr>
          <w:t>7, L</w:t>
        </w:r>
      </w:smartTag>
      <w:r>
        <w:rPr>
          <w:szCs w:val="20"/>
        </w:rPr>
        <w:t>. n. 190/12, nella figura del Segre</w:t>
      </w:r>
      <w:r w:rsidR="009828D1">
        <w:rPr>
          <w:szCs w:val="20"/>
        </w:rPr>
        <w:t xml:space="preserve">tario Generale Dott. </w:t>
      </w:r>
      <w:proofErr w:type="spellStart"/>
      <w:r w:rsidR="009828D1">
        <w:rPr>
          <w:szCs w:val="20"/>
        </w:rPr>
        <w:t>Abram</w:t>
      </w:r>
      <w:proofErr w:type="spellEnd"/>
      <w:r w:rsidR="009828D1">
        <w:rPr>
          <w:szCs w:val="20"/>
        </w:rPr>
        <w:t xml:space="preserve"> Paolo</w:t>
      </w:r>
      <w:r>
        <w:rPr>
          <w:szCs w:val="20"/>
        </w:rPr>
        <w:t>;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>- che il Responsabile per la prevenzione della corruzione ha presentato proposta di Piano triennale 201</w:t>
      </w:r>
      <w:r w:rsidR="00FF7563">
        <w:rPr>
          <w:szCs w:val="20"/>
        </w:rPr>
        <w:t>7/19</w:t>
      </w:r>
      <w:r>
        <w:rPr>
          <w:szCs w:val="20"/>
        </w:rPr>
        <w:t xml:space="preserve">;  </w:t>
      </w:r>
    </w:p>
    <w:p w:rsidR="0072637A" w:rsidRDefault="0072637A" w:rsidP="00FF7563">
      <w:pPr>
        <w:autoSpaceDE w:val="0"/>
        <w:autoSpaceDN w:val="0"/>
        <w:adjustRightInd w:val="0"/>
        <w:jc w:val="both"/>
        <w:rPr>
          <w:rFonts w:cs="Palatino Linotype"/>
          <w:szCs w:val="20"/>
        </w:rPr>
      </w:pPr>
    </w:p>
    <w:p w:rsidR="00FF7563" w:rsidRDefault="0072637A" w:rsidP="00FF7563">
      <w:pPr>
        <w:autoSpaceDE w:val="0"/>
        <w:autoSpaceDN w:val="0"/>
        <w:adjustRightInd w:val="0"/>
        <w:jc w:val="both"/>
        <w:rPr>
          <w:rFonts w:cs="Palatino Linotype"/>
          <w:szCs w:val="20"/>
        </w:rPr>
      </w:pPr>
      <w:r>
        <w:rPr>
          <w:rFonts w:cs="Palatino Linotype"/>
          <w:szCs w:val="20"/>
        </w:rPr>
        <w:t>- che i</w:t>
      </w:r>
      <w:r w:rsidR="00FF7563" w:rsidRPr="002E377A">
        <w:rPr>
          <w:rFonts w:cs="Palatino Linotype"/>
          <w:szCs w:val="20"/>
        </w:rPr>
        <w:t>l piano della prevenzione della corruzione</w:t>
      </w:r>
      <w:r w:rsidR="00FF7563">
        <w:rPr>
          <w:rFonts w:cs="Palatino Linotype"/>
          <w:szCs w:val="20"/>
        </w:rPr>
        <w:t xml:space="preserve"> viene</w:t>
      </w:r>
      <w:r w:rsidR="00FF7563" w:rsidRPr="002E377A">
        <w:rPr>
          <w:rFonts w:cs="Palatino Linotype"/>
          <w:szCs w:val="20"/>
        </w:rPr>
        <w:t xml:space="preserve"> redatto ai sensi del comma 59 dell’art. 1 della legge 190/2012 e secondo le linee di indirizzo dettate dal Piano Nazionale dell’Anticorruzione approvato dalla C.I.V.I.T. con delibera n. 72/2013,</w:t>
      </w:r>
      <w:r w:rsidR="00FF7563">
        <w:rPr>
          <w:rFonts w:cs="Palatino Linotype"/>
          <w:szCs w:val="20"/>
        </w:rPr>
        <w:t xml:space="preserve"> aggiornato dalle linee guida ANAC di cui alla Determina n. 12 del 28-10-2015 e delibera ANAC n. 831 del 03-08-2016.</w:t>
      </w:r>
    </w:p>
    <w:p w:rsidR="00F1456E" w:rsidRDefault="00FF7563" w:rsidP="00FF7563">
      <w:pPr>
        <w:jc w:val="both"/>
        <w:rPr>
          <w:szCs w:val="20"/>
        </w:rPr>
      </w:pPr>
      <w:r>
        <w:rPr>
          <w:rFonts w:cs="Palatino Linotype"/>
          <w:szCs w:val="20"/>
        </w:rPr>
        <w:t xml:space="preserve">Incidono nella sua formazione, oltre alla L. n. 190/12, le disposizioni normative di cui al DL n. 90/2014 e </w:t>
      </w:r>
      <w:proofErr w:type="spellStart"/>
      <w:r>
        <w:rPr>
          <w:rFonts w:cs="Palatino Linotype"/>
          <w:szCs w:val="20"/>
        </w:rPr>
        <w:t>Dlgs</w:t>
      </w:r>
      <w:proofErr w:type="spellEnd"/>
      <w:r>
        <w:rPr>
          <w:rFonts w:cs="Palatino Linotype"/>
          <w:szCs w:val="20"/>
        </w:rPr>
        <w:t xml:space="preserve"> n. 33/2013, come modificati dal dlgs</w:t>
      </w:r>
      <w:r w:rsidRPr="00573F88">
        <w:rPr>
          <w:szCs w:val="20"/>
        </w:rPr>
        <w:t>25 maggio 2016 n. 97</w:t>
      </w:r>
      <w:r>
        <w:rPr>
          <w:rFonts w:cs="Palatino Linotype"/>
          <w:szCs w:val="20"/>
        </w:rPr>
        <w:t>,integrati dalla previsioni del Piano della Performance annuale</w:t>
      </w:r>
      <w:r w:rsidR="0072637A">
        <w:rPr>
          <w:rFonts w:cs="Palatino Linotype"/>
          <w:szCs w:val="20"/>
        </w:rPr>
        <w:t>;</w:t>
      </w:r>
      <w:bookmarkStart w:id="0" w:name="_GoBack"/>
      <w:bookmarkEnd w:id="0"/>
    </w:p>
    <w:p w:rsidR="00076CE7" w:rsidRDefault="00076CE7" w:rsidP="00F1456E">
      <w:pPr>
        <w:jc w:val="both"/>
        <w:rPr>
          <w:rFonts w:cs="Palatino Linotype"/>
          <w:szCs w:val="20"/>
        </w:rPr>
      </w:pPr>
    </w:p>
    <w:p w:rsidR="00F1456E" w:rsidRPr="00663815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Considerato che il Piano Nazionale Anticorruzione individua gli obiettivi strategici per la prevenzione della corruzione quali: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ridurre le opportunità che si manifestino casi di corruzione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 - </w:t>
      </w:r>
      <w:r w:rsidRPr="00663815">
        <w:rPr>
          <w:szCs w:val="20"/>
        </w:rPr>
        <w:t xml:space="preserve">aumentare la capacità di scoprire casi di corruzione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>-</w:t>
      </w:r>
      <w:r w:rsidRPr="00663815">
        <w:rPr>
          <w:szCs w:val="20"/>
        </w:rPr>
        <w:t xml:space="preserve"> creare un contesto sfavorevole alla corruzione </w:t>
      </w:r>
    </w:p>
    <w:p w:rsidR="00F1456E" w:rsidRPr="00663815" w:rsidRDefault="00F1456E" w:rsidP="00F1456E">
      <w:pPr>
        <w:jc w:val="both"/>
        <w:rPr>
          <w:szCs w:val="20"/>
        </w:rPr>
      </w:pPr>
      <w:r w:rsidRPr="00663815">
        <w:rPr>
          <w:szCs w:val="20"/>
        </w:rPr>
        <w:t xml:space="preserve">e indica le azioni e le misure di contrasto finalizzate al raggiungimento degli obiettivi, sia inattuazione del dettato normativo sia mediante lo sviluppo di ulteriori misure con riferimento al particolare contesto di riferimento. </w:t>
      </w:r>
    </w:p>
    <w:p w:rsidR="00F1456E" w:rsidRPr="00663815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lastRenderedPageBreak/>
        <w:t>- Preso atto che, ai fini dell’approvazione del piano triennale, è stato reso noto</w:t>
      </w:r>
      <w:r w:rsidR="00FF7563">
        <w:rPr>
          <w:szCs w:val="20"/>
        </w:rPr>
        <w:t xml:space="preserve"> a mezzo pubblicazione sul sito web istituzionale</w:t>
      </w:r>
      <w:r>
        <w:rPr>
          <w:szCs w:val="20"/>
        </w:rPr>
        <w:t xml:space="preserve"> agli</w:t>
      </w:r>
      <w:r w:rsidR="00414E4E">
        <w:rPr>
          <w:szCs w:val="20"/>
        </w:rPr>
        <w:t xml:space="preserve"> </w:t>
      </w:r>
      <w:proofErr w:type="spellStart"/>
      <w:r w:rsidR="00FF7563">
        <w:rPr>
          <w:szCs w:val="20"/>
        </w:rPr>
        <w:t>stakeholders</w:t>
      </w:r>
      <w:proofErr w:type="spellEnd"/>
      <w:r w:rsidR="00FF7563">
        <w:rPr>
          <w:szCs w:val="20"/>
        </w:rPr>
        <w:t>,</w:t>
      </w:r>
      <w:r>
        <w:rPr>
          <w:szCs w:val="20"/>
        </w:rPr>
        <w:t xml:space="preserve"> amministratori </w:t>
      </w:r>
      <w:r w:rsidR="00FF7563">
        <w:rPr>
          <w:szCs w:val="20"/>
        </w:rPr>
        <w:t>e</w:t>
      </w:r>
      <w:r>
        <w:rPr>
          <w:szCs w:val="20"/>
        </w:rPr>
        <w:t xml:space="preserve"> Responsabili del Comune lo schema di Piano approvando, con richiesta di apporti collaborativi di completamento e miglioramento;</w:t>
      </w:r>
    </w:p>
    <w:p w:rsidR="00FF7563" w:rsidRDefault="00FF7563" w:rsidP="00F1456E">
      <w:pPr>
        <w:jc w:val="both"/>
        <w:rPr>
          <w:szCs w:val="20"/>
        </w:rPr>
      </w:pPr>
    </w:p>
    <w:p w:rsidR="00F1456E" w:rsidRPr="00663815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>Visto ed esaminato il piano</w:t>
      </w:r>
      <w:r>
        <w:rPr>
          <w:szCs w:val="20"/>
        </w:rPr>
        <w:t xml:space="preserve"> triennale 201</w:t>
      </w:r>
      <w:r w:rsidR="00FF7563">
        <w:rPr>
          <w:szCs w:val="20"/>
        </w:rPr>
        <w:t>7/19</w:t>
      </w:r>
      <w:r w:rsidRPr="00663815">
        <w:rPr>
          <w:szCs w:val="20"/>
        </w:rPr>
        <w:t xml:space="preserve"> per la prevenzione della corruzione predisposto dal Responsabile della prevenzionedella corruzione </w:t>
      </w:r>
      <w:r>
        <w:rPr>
          <w:szCs w:val="20"/>
        </w:rPr>
        <w:t>del Comune;</w:t>
      </w:r>
    </w:p>
    <w:p w:rsidR="00F1456E" w:rsidRPr="00663815" w:rsidRDefault="00F1456E" w:rsidP="00F1456E">
      <w:pPr>
        <w:jc w:val="both"/>
        <w:rPr>
          <w:szCs w:val="20"/>
        </w:rPr>
      </w:pPr>
    </w:p>
    <w:p w:rsidR="00F1456E" w:rsidRPr="00FF50A8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>Rilevato che esso contiene un nucleo minimo di indicatori sull’efficacia delle politiche di prevenzioni con riguardo ai seguenti ambiti: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Gestione dei rischi (individuazione situazioni a rischio corruzione, azioni intraprese per affrontare i rischi di corruzione, controlli sulla gestione dei rischi di corruzione);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Formazione in tema di anticorruzione (indicazioni delle azioni e previsione dei tempi);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Codice di comportamento (previsione delle azioni per l’adozione delle integrazioni al codice di comportamento); </w:t>
      </w:r>
    </w:p>
    <w:p w:rsidR="00F1456E" w:rsidRPr="00663815" w:rsidRDefault="00F1456E" w:rsidP="00F1456E">
      <w:pPr>
        <w:jc w:val="both"/>
        <w:rPr>
          <w:szCs w:val="20"/>
        </w:rPr>
      </w:pPr>
      <w:r w:rsidRPr="00663815">
        <w:rPr>
          <w:szCs w:val="20"/>
        </w:rPr>
        <w:t>nonché la previsione di altre iniziative aventi il medesimo scopo, tra le quali: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Delibera di Giunta Comunale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rispetto dei termini dei procedimenti;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iniziative nell’ambito dei contratti pubblici;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Pr="00663815">
        <w:rPr>
          <w:szCs w:val="20"/>
        </w:rPr>
        <w:t xml:space="preserve">iniziative previste nell’ambito dell’erogazione di sovvenzioni,contributi, sussidi, ausili finanziari nonché attribuzione di vantaggi economici di qualunque genere;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>-</w:t>
      </w:r>
      <w:r w:rsidRPr="00663815">
        <w:rPr>
          <w:szCs w:val="20"/>
        </w:rPr>
        <w:t xml:space="preserve">  azioni di sensibilizzazione e rapporto con il cittadino finalizzate alla promozione della cultura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 w:rsidRPr="00663815">
        <w:rPr>
          <w:szCs w:val="20"/>
        </w:rPr>
        <w:t xml:space="preserve">della legalità;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>-</w:t>
      </w:r>
      <w:r w:rsidRPr="00663815">
        <w:rPr>
          <w:szCs w:val="20"/>
        </w:rPr>
        <w:t xml:space="preserve"> previsione di predisposizione protocolli di legalità o patti di integrità per l’affidamento di lavori, servizi, forniture; </w:t>
      </w:r>
    </w:p>
    <w:p w:rsidR="00F1456E" w:rsidRPr="00663815" w:rsidRDefault="00F1456E" w:rsidP="00F1456E">
      <w:pPr>
        <w:ind w:left="284"/>
        <w:jc w:val="both"/>
        <w:rPr>
          <w:szCs w:val="20"/>
        </w:rPr>
      </w:pPr>
      <w:r>
        <w:rPr>
          <w:szCs w:val="20"/>
        </w:rPr>
        <w:t>-</w:t>
      </w:r>
      <w:r w:rsidRPr="00663815">
        <w:rPr>
          <w:szCs w:val="20"/>
        </w:rPr>
        <w:t xml:space="preserve">  indicazione delle iniziative previste nell’ambito di concorsi e selezione del personale; </w:t>
      </w:r>
    </w:p>
    <w:p w:rsidR="00F1456E" w:rsidRPr="00663815" w:rsidRDefault="00F1456E" w:rsidP="00F1456E">
      <w:pPr>
        <w:jc w:val="both"/>
        <w:rPr>
          <w:szCs w:val="20"/>
        </w:rPr>
      </w:pPr>
      <w:r w:rsidRPr="00663815">
        <w:rPr>
          <w:szCs w:val="20"/>
        </w:rPr>
        <w:t>che, unitariamente considerate, garantiscono il rispetto dello spirito della normativa dettata in tema di anticorruzione e trasparenza attualizzato nel contesto della realtà amministrativa delComune</w:t>
      </w:r>
      <w:r>
        <w:rPr>
          <w:szCs w:val="20"/>
        </w:rPr>
        <w:t>;</w:t>
      </w:r>
    </w:p>
    <w:p w:rsidR="00F1456E" w:rsidRPr="00663815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Ritenuto, pertanto, doversi procedere </w:t>
      </w:r>
      <w:r w:rsidRPr="00663815">
        <w:rPr>
          <w:szCs w:val="20"/>
        </w:rPr>
        <w:t xml:space="preserve">all’approvazione del Piano della prevenzione della corruzione </w:t>
      </w:r>
      <w:r>
        <w:rPr>
          <w:szCs w:val="20"/>
        </w:rPr>
        <w:t xml:space="preserve">del Comune </w:t>
      </w:r>
      <w:r w:rsidRPr="00663815">
        <w:rPr>
          <w:szCs w:val="20"/>
        </w:rPr>
        <w:t>per il triennio 201</w:t>
      </w:r>
      <w:r w:rsidR="00FF7563">
        <w:rPr>
          <w:szCs w:val="20"/>
        </w:rPr>
        <w:t>7/19</w:t>
      </w:r>
      <w:r w:rsidRPr="00663815">
        <w:rPr>
          <w:szCs w:val="20"/>
        </w:rPr>
        <w:t xml:space="preserve"> nel</w:t>
      </w:r>
      <w:r>
        <w:rPr>
          <w:szCs w:val="20"/>
        </w:rPr>
        <w:t xml:space="preserve"> testo </w:t>
      </w:r>
      <w:r w:rsidRPr="00663815">
        <w:rPr>
          <w:szCs w:val="20"/>
        </w:rPr>
        <w:t>allegat</w:t>
      </w:r>
      <w:r>
        <w:rPr>
          <w:szCs w:val="20"/>
        </w:rPr>
        <w:t>o</w:t>
      </w:r>
      <w:r w:rsidRPr="00663815">
        <w:rPr>
          <w:szCs w:val="20"/>
        </w:rPr>
        <w:t xml:space="preserve"> al presente atto per farne parte integrante e sostanziale.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Visto il </w:t>
      </w:r>
      <w:proofErr w:type="spellStart"/>
      <w:r>
        <w:rPr>
          <w:szCs w:val="20"/>
        </w:rPr>
        <w:t>dlgs</w:t>
      </w:r>
      <w:proofErr w:type="spellEnd"/>
      <w:r>
        <w:rPr>
          <w:szCs w:val="20"/>
        </w:rPr>
        <w:t xml:space="preserve"> n. 267/2000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>Con voti favorevoli unanimi espressi ai sensi di legge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center"/>
        <w:rPr>
          <w:szCs w:val="20"/>
        </w:rPr>
      </w:pPr>
      <w:r>
        <w:rPr>
          <w:szCs w:val="20"/>
        </w:rPr>
        <w:t>DELIBERA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1) Approvare, per le motivazioni in premessa, ai sensi dell’art. 1, comma </w:t>
      </w:r>
      <w:smartTag w:uri="urn:schemas-microsoft-com:office:smarttags" w:element="metricconverter">
        <w:smartTagPr>
          <w:attr w:name="ProductID" w:val="8, L"/>
        </w:smartTagPr>
        <w:r>
          <w:rPr>
            <w:szCs w:val="20"/>
          </w:rPr>
          <w:t>8, L</w:t>
        </w:r>
      </w:smartTag>
      <w:r>
        <w:rPr>
          <w:szCs w:val="20"/>
        </w:rPr>
        <w:t>. n. 190/2012, il Piano triennale di prevenzione della corruzione 201</w:t>
      </w:r>
      <w:r w:rsidR="00FF7563">
        <w:rPr>
          <w:szCs w:val="20"/>
        </w:rPr>
        <w:t>7/19</w:t>
      </w:r>
      <w:r>
        <w:rPr>
          <w:szCs w:val="20"/>
        </w:rPr>
        <w:t>, nel testo che si allega al presente atto in parte integrante e sostanziale.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2) </w:t>
      </w:r>
      <w:r w:rsidRPr="00FE0FC5">
        <w:rPr>
          <w:szCs w:val="20"/>
        </w:rPr>
        <w:t>Disporre l’adempimento delle azioni ivi previste in osservanza della normativa in materia di prevenzione della corruzione e di trasparenza</w:t>
      </w:r>
      <w:r w:rsidR="00FF7563">
        <w:rPr>
          <w:szCs w:val="20"/>
        </w:rPr>
        <w:t xml:space="preserve"> e</w:t>
      </w:r>
      <w:r>
        <w:rPr>
          <w:szCs w:val="20"/>
        </w:rPr>
        <w:t xml:space="preserve"> pubblicazione</w:t>
      </w:r>
      <w:r w:rsidR="00FF7563">
        <w:rPr>
          <w:szCs w:val="20"/>
        </w:rPr>
        <w:t xml:space="preserve"> in apposita sezione del sito istituzionale dell’ente.</w:t>
      </w: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A43278">
        <w:rPr>
          <w:szCs w:val="20"/>
        </w:rPr>
        <w:t>Dare atto che il Piano verrà aggiornato secondo quanto prescritto dal dettato legislativo</w:t>
      </w:r>
      <w:r>
        <w:rPr>
          <w:szCs w:val="20"/>
        </w:rPr>
        <w:t>.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both"/>
        <w:rPr>
          <w:szCs w:val="20"/>
        </w:rPr>
      </w:pPr>
      <w:r>
        <w:rPr>
          <w:szCs w:val="20"/>
        </w:rPr>
        <w:t>Con separata votazione favorevole unanime</w:t>
      </w:r>
    </w:p>
    <w:p w:rsidR="00F1456E" w:rsidRDefault="00F1456E" w:rsidP="00F1456E">
      <w:pPr>
        <w:jc w:val="both"/>
        <w:rPr>
          <w:szCs w:val="20"/>
        </w:rPr>
      </w:pPr>
    </w:p>
    <w:p w:rsidR="00F1456E" w:rsidRDefault="00F1456E" w:rsidP="00F1456E">
      <w:pPr>
        <w:jc w:val="center"/>
        <w:rPr>
          <w:szCs w:val="20"/>
        </w:rPr>
      </w:pPr>
      <w:r>
        <w:rPr>
          <w:szCs w:val="20"/>
        </w:rPr>
        <w:t>DELIBERA</w:t>
      </w:r>
    </w:p>
    <w:p w:rsidR="00F1456E" w:rsidRDefault="00F1456E" w:rsidP="00F1456E">
      <w:pPr>
        <w:jc w:val="center"/>
        <w:rPr>
          <w:szCs w:val="20"/>
        </w:rPr>
      </w:pPr>
    </w:p>
    <w:p w:rsidR="00F1456E" w:rsidRPr="00FF50A8" w:rsidRDefault="00F1456E" w:rsidP="00F1456E">
      <w:pPr>
        <w:jc w:val="both"/>
        <w:rPr>
          <w:szCs w:val="20"/>
        </w:rPr>
      </w:pPr>
      <w:r>
        <w:rPr>
          <w:szCs w:val="20"/>
        </w:rPr>
        <w:t xml:space="preserve">1) Dichiarare il presente atto immediatamente eseguibile, ex art. 134, c. 4, </w:t>
      </w:r>
      <w:proofErr w:type="spellStart"/>
      <w:r>
        <w:rPr>
          <w:szCs w:val="20"/>
        </w:rPr>
        <w:t>dlgs</w:t>
      </w:r>
      <w:proofErr w:type="spellEnd"/>
      <w:r>
        <w:rPr>
          <w:szCs w:val="20"/>
        </w:rPr>
        <w:t xml:space="preserve"> n. 267/2000. </w:t>
      </w:r>
    </w:p>
    <w:sectPr w:rsidR="00F1456E" w:rsidRPr="00FF50A8" w:rsidSect="00E238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57"/>
    <w:multiLevelType w:val="hybridMultilevel"/>
    <w:tmpl w:val="ED5EA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347C"/>
    <w:multiLevelType w:val="multilevel"/>
    <w:tmpl w:val="4FC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C720A"/>
    <w:multiLevelType w:val="multilevel"/>
    <w:tmpl w:val="671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5546C"/>
    <w:multiLevelType w:val="multilevel"/>
    <w:tmpl w:val="CF6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1399"/>
    <w:rsid w:val="00005CC9"/>
    <w:rsid w:val="000508DB"/>
    <w:rsid w:val="00051EE5"/>
    <w:rsid w:val="00076CE7"/>
    <w:rsid w:val="000851AE"/>
    <w:rsid w:val="00091CA4"/>
    <w:rsid w:val="000B7A04"/>
    <w:rsid w:val="000C166D"/>
    <w:rsid w:val="00152DE3"/>
    <w:rsid w:val="00211FBA"/>
    <w:rsid w:val="002373B8"/>
    <w:rsid w:val="00264878"/>
    <w:rsid w:val="0029478B"/>
    <w:rsid w:val="002E292F"/>
    <w:rsid w:val="0031044A"/>
    <w:rsid w:val="0033551B"/>
    <w:rsid w:val="0036021F"/>
    <w:rsid w:val="00370829"/>
    <w:rsid w:val="003E0B6D"/>
    <w:rsid w:val="00414E4E"/>
    <w:rsid w:val="00451399"/>
    <w:rsid w:val="00485D2E"/>
    <w:rsid w:val="00494FB9"/>
    <w:rsid w:val="004B2BC4"/>
    <w:rsid w:val="004D39F2"/>
    <w:rsid w:val="004E59FC"/>
    <w:rsid w:val="004F0394"/>
    <w:rsid w:val="00612D1E"/>
    <w:rsid w:val="00644949"/>
    <w:rsid w:val="00664442"/>
    <w:rsid w:val="006C1196"/>
    <w:rsid w:val="006F2E70"/>
    <w:rsid w:val="00701BF9"/>
    <w:rsid w:val="0072637A"/>
    <w:rsid w:val="00744B58"/>
    <w:rsid w:val="007726D9"/>
    <w:rsid w:val="007B2E72"/>
    <w:rsid w:val="00833D31"/>
    <w:rsid w:val="00842D75"/>
    <w:rsid w:val="008812BB"/>
    <w:rsid w:val="008A7435"/>
    <w:rsid w:val="008F1A4F"/>
    <w:rsid w:val="009828D1"/>
    <w:rsid w:val="00990CAB"/>
    <w:rsid w:val="009C0DF5"/>
    <w:rsid w:val="00A14F95"/>
    <w:rsid w:val="00A46ECB"/>
    <w:rsid w:val="00AB52C7"/>
    <w:rsid w:val="00AF2435"/>
    <w:rsid w:val="00BB7810"/>
    <w:rsid w:val="00BC2FC5"/>
    <w:rsid w:val="00C575A2"/>
    <w:rsid w:val="00D77038"/>
    <w:rsid w:val="00D907AE"/>
    <w:rsid w:val="00DE4283"/>
    <w:rsid w:val="00DF4F7B"/>
    <w:rsid w:val="00E026A0"/>
    <w:rsid w:val="00E238BB"/>
    <w:rsid w:val="00EA3E35"/>
    <w:rsid w:val="00ED6632"/>
    <w:rsid w:val="00F1456E"/>
    <w:rsid w:val="00F76A57"/>
    <w:rsid w:val="00F95B4A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A4F"/>
  </w:style>
  <w:style w:type="paragraph" w:styleId="Titolo1">
    <w:name w:val="heading 1"/>
    <w:basedOn w:val="Normale"/>
    <w:next w:val="Normale"/>
    <w:link w:val="Titolo1Carattere"/>
    <w:uiPriority w:val="9"/>
    <w:qFormat/>
    <w:rsid w:val="004E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2DE3"/>
    <w:rPr>
      <w:rFonts w:ascii="Times New Roman" w:hAnsi="Times New Roman" w:cs="Times New Roman"/>
      <w:sz w:val="24"/>
      <w:szCs w:val="24"/>
    </w:rPr>
  </w:style>
  <w:style w:type="character" w:customStyle="1" w:styleId="provvnumart">
    <w:name w:val="provv_numart"/>
    <w:basedOn w:val="Carpredefinitoparagrafo"/>
    <w:rsid w:val="00644949"/>
  </w:style>
  <w:style w:type="character" w:customStyle="1" w:styleId="apple-converted-space">
    <w:name w:val="apple-converted-space"/>
    <w:basedOn w:val="Carpredefinitoparagrafo"/>
    <w:rsid w:val="00644949"/>
  </w:style>
  <w:style w:type="character" w:customStyle="1" w:styleId="provvrubrica">
    <w:name w:val="provv_rubrica"/>
    <w:basedOn w:val="Carpredefinitoparagrafo"/>
    <w:rsid w:val="00644949"/>
  </w:style>
  <w:style w:type="character" w:styleId="Collegamentoipertestuale">
    <w:name w:val="Hyperlink"/>
    <w:basedOn w:val="Carpredefinitoparagrafo"/>
    <w:uiPriority w:val="99"/>
    <w:semiHidden/>
    <w:unhideWhenUsed/>
    <w:rsid w:val="00644949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644949"/>
  </w:style>
  <w:style w:type="character" w:customStyle="1" w:styleId="provvvigore">
    <w:name w:val="provv_vigore"/>
    <w:basedOn w:val="Carpredefinitoparagrafo"/>
    <w:rsid w:val="00644949"/>
  </w:style>
  <w:style w:type="paragraph" w:customStyle="1" w:styleId="provvr0">
    <w:name w:val="provv_r0"/>
    <w:basedOn w:val="Normale"/>
    <w:rsid w:val="00644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644949"/>
  </w:style>
  <w:style w:type="paragraph" w:customStyle="1" w:styleId="provvnota">
    <w:name w:val="provv_nota"/>
    <w:basedOn w:val="Normale"/>
    <w:rsid w:val="00644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14F95"/>
    <w:rPr>
      <w:rFonts w:ascii="Times New Roman" w:eastAsia="Times New Roman" w:hAnsi="Times New Roman" w:cs="Times New Roman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A14F95"/>
    <w:rPr>
      <w:rFonts w:ascii="Times New Roman" w:eastAsia="Times New Roman" w:hAnsi="Times New Roman" w:cs="Times New Roman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E5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CA4"/>
    <w:rPr>
      <w:rFonts w:ascii="Segoe UI" w:hAnsi="Segoe UI" w:cs="Segoe UI"/>
      <w:sz w:val="18"/>
      <w:szCs w:val="18"/>
    </w:rPr>
  </w:style>
  <w:style w:type="table" w:customStyle="1" w:styleId="rtf1NormalTable">
    <w:name w:val="rtf1 Normal Table"/>
    <w:semiHidden/>
    <w:rsid w:val="002E292F"/>
    <w:rPr>
      <w:rFonts w:ascii="Times New Roman" w:eastAsia="Times New Roman" w:hAnsi="Times New Roman" w:cs="Times New Roman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051EE5"/>
    <w:rPr>
      <w:rFonts w:ascii="Times New Roman" w:eastAsia="Times New Roman" w:hAnsi="Times New Roman" w:cs="Times New Roman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37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73B8"/>
    <w:rPr>
      <w:rFonts w:ascii="Courier New" w:eastAsia="Times New Roman" w:hAnsi="Courier New" w:cs="Courier New"/>
      <w:szCs w:val="20"/>
      <w:lang w:eastAsia="it-IT"/>
    </w:rPr>
  </w:style>
  <w:style w:type="character" w:customStyle="1" w:styleId="riferimento">
    <w:name w:val="riferimento"/>
    <w:basedOn w:val="Carpredefinitoparagrafo"/>
    <w:rsid w:val="002373B8"/>
  </w:style>
  <w:style w:type="character" w:styleId="Enfasicorsivo">
    <w:name w:val="Emphasis"/>
    <w:qFormat/>
    <w:rsid w:val="00F1456E"/>
    <w:rPr>
      <w:i/>
      <w:iCs/>
    </w:rPr>
  </w:style>
  <w:style w:type="paragraph" w:styleId="Paragrafoelenco">
    <w:name w:val="List Paragraph"/>
    <w:basedOn w:val="Normale"/>
    <w:uiPriority w:val="34"/>
    <w:qFormat/>
    <w:rsid w:val="0007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4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Prandini</dc:creator>
  <cp:keywords/>
  <dc:description/>
  <cp:lastModifiedBy>Isabella</cp:lastModifiedBy>
  <cp:revision>80</cp:revision>
  <cp:lastPrinted>2015-10-07T16:03:00Z</cp:lastPrinted>
  <dcterms:created xsi:type="dcterms:W3CDTF">2013-11-05T16:51:00Z</dcterms:created>
  <dcterms:modified xsi:type="dcterms:W3CDTF">2017-01-26T13:13:00Z</dcterms:modified>
</cp:coreProperties>
</file>