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29D" w:rsidRPr="002D092D" w:rsidRDefault="0081529D" w:rsidP="00CB73FA">
      <w:pPr>
        <w:jc w:val="both"/>
        <w:rPr>
          <w:rFonts w:ascii="Arial" w:hAnsi="Arial" w:cs="Arial"/>
          <w:sz w:val="20"/>
          <w:szCs w:val="20"/>
        </w:rPr>
      </w:pPr>
      <w:bookmarkStart w:id="0" w:name="_GoBack"/>
      <w:bookmarkEnd w:id="0"/>
    </w:p>
    <w:p w:rsidR="00301F03" w:rsidRPr="002D092D" w:rsidRDefault="00301F03" w:rsidP="00CB73FA">
      <w:pPr>
        <w:jc w:val="both"/>
        <w:rPr>
          <w:rFonts w:ascii="Arial" w:hAnsi="Arial" w:cs="Arial"/>
          <w:sz w:val="20"/>
          <w:szCs w:val="20"/>
        </w:rPr>
      </w:pPr>
    </w:p>
    <w:p w:rsidR="00301F03" w:rsidRPr="002D092D" w:rsidRDefault="002B09D1" w:rsidP="00CB73FA">
      <w:pPr>
        <w:jc w:val="center"/>
        <w:rPr>
          <w:rFonts w:ascii="Arial" w:hAnsi="Arial" w:cs="Arial"/>
          <w:sz w:val="20"/>
          <w:szCs w:val="20"/>
        </w:rPr>
      </w:pPr>
      <w:r w:rsidRPr="0045522E">
        <w:rPr>
          <w:rFonts w:ascii="Banjoman Open Bold" w:hAnsi="Banjoman Open Bold"/>
          <w:b/>
          <w:noProof/>
          <w:color w:val="008080"/>
          <w:sz w:val="32"/>
          <w:szCs w:val="32"/>
          <w:lang w:eastAsia="it-IT"/>
        </w:rPr>
        <w:drawing>
          <wp:inline distT="0" distB="0" distL="0" distR="0">
            <wp:extent cx="977900" cy="1311910"/>
            <wp:effectExtent l="0" t="0" r="0" b="2540"/>
            <wp:docPr id="4" name="Immagine 4" descr="stemma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1 2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1311910"/>
                    </a:xfrm>
                    <a:prstGeom prst="rect">
                      <a:avLst/>
                    </a:prstGeom>
                    <a:noFill/>
                    <a:ln>
                      <a:noFill/>
                    </a:ln>
                  </pic:spPr>
                </pic:pic>
              </a:graphicData>
            </a:graphic>
          </wp:inline>
        </w:drawing>
      </w:r>
    </w:p>
    <w:p w:rsidR="00301F03" w:rsidRPr="002D092D" w:rsidRDefault="00301F03" w:rsidP="00CB73FA">
      <w:pPr>
        <w:jc w:val="both"/>
        <w:rPr>
          <w:rFonts w:ascii="Arial" w:hAnsi="Arial" w:cs="Arial"/>
          <w:sz w:val="20"/>
          <w:szCs w:val="20"/>
        </w:rPr>
      </w:pPr>
    </w:p>
    <w:p w:rsidR="00301F03" w:rsidRPr="002D092D" w:rsidRDefault="00301F03" w:rsidP="00CB73FA">
      <w:pPr>
        <w:jc w:val="both"/>
        <w:rPr>
          <w:rFonts w:ascii="Arial" w:hAnsi="Arial" w:cs="Arial"/>
          <w:sz w:val="20"/>
          <w:szCs w:val="20"/>
        </w:rPr>
      </w:pPr>
    </w:p>
    <w:p w:rsidR="00301F03" w:rsidRPr="002D092D" w:rsidRDefault="00301F03" w:rsidP="00CB73FA">
      <w:pPr>
        <w:spacing w:after="0" w:line="240" w:lineRule="auto"/>
        <w:jc w:val="center"/>
        <w:rPr>
          <w:rFonts w:ascii="Arial" w:hAnsi="Arial" w:cs="Arial"/>
          <w:b/>
          <w:sz w:val="20"/>
          <w:szCs w:val="20"/>
        </w:rPr>
      </w:pPr>
      <w:r w:rsidRPr="002D092D">
        <w:rPr>
          <w:rFonts w:ascii="Arial" w:hAnsi="Arial" w:cs="Arial"/>
          <w:b/>
          <w:sz w:val="20"/>
          <w:szCs w:val="20"/>
        </w:rPr>
        <w:t xml:space="preserve">COMUNE DI </w:t>
      </w:r>
      <w:r w:rsidR="00F82109">
        <w:rPr>
          <w:rFonts w:ascii="Arial" w:hAnsi="Arial" w:cs="Arial"/>
          <w:b/>
          <w:sz w:val="20"/>
          <w:szCs w:val="20"/>
        </w:rPr>
        <w:t>SALGAREDA</w:t>
      </w:r>
    </w:p>
    <w:p w:rsidR="00301F03" w:rsidRPr="002D092D" w:rsidRDefault="00D548AB" w:rsidP="00CB73FA">
      <w:pPr>
        <w:spacing w:after="0" w:line="240" w:lineRule="auto"/>
        <w:jc w:val="center"/>
        <w:rPr>
          <w:rFonts w:ascii="Arial" w:hAnsi="Arial" w:cs="Arial"/>
          <w:sz w:val="20"/>
          <w:szCs w:val="20"/>
        </w:rPr>
      </w:pPr>
      <w:r w:rsidRPr="002D092D">
        <w:rPr>
          <w:rFonts w:ascii="Arial" w:hAnsi="Arial" w:cs="Arial"/>
          <w:sz w:val="20"/>
          <w:szCs w:val="20"/>
        </w:rPr>
        <w:t xml:space="preserve">(Provincia di </w:t>
      </w:r>
      <w:r w:rsidR="00440990" w:rsidRPr="002D092D">
        <w:rPr>
          <w:rFonts w:ascii="Arial" w:hAnsi="Arial" w:cs="Arial"/>
          <w:sz w:val="20"/>
          <w:szCs w:val="20"/>
        </w:rPr>
        <w:t>Treviso</w:t>
      </w:r>
      <w:r w:rsidR="00301F03" w:rsidRPr="002D092D">
        <w:rPr>
          <w:rFonts w:ascii="Arial" w:hAnsi="Arial" w:cs="Arial"/>
          <w:sz w:val="20"/>
          <w:szCs w:val="20"/>
        </w:rPr>
        <w:t>)</w:t>
      </w:r>
    </w:p>
    <w:p w:rsidR="00301F03" w:rsidRPr="002D092D" w:rsidRDefault="00301F03" w:rsidP="00CB73FA">
      <w:pPr>
        <w:jc w:val="both"/>
        <w:rPr>
          <w:rFonts w:ascii="Arial" w:hAnsi="Arial" w:cs="Arial"/>
          <w:sz w:val="20"/>
          <w:szCs w:val="20"/>
        </w:rPr>
      </w:pPr>
    </w:p>
    <w:p w:rsidR="00301F03" w:rsidRPr="002D092D" w:rsidRDefault="00301F03" w:rsidP="00CB73FA">
      <w:pPr>
        <w:jc w:val="both"/>
        <w:rPr>
          <w:rFonts w:ascii="Arial" w:hAnsi="Arial" w:cs="Arial"/>
          <w:sz w:val="20"/>
          <w:szCs w:val="20"/>
        </w:rPr>
      </w:pPr>
    </w:p>
    <w:p w:rsidR="00301F03" w:rsidRPr="002D092D" w:rsidRDefault="00301F03" w:rsidP="00CB73FA">
      <w:pPr>
        <w:jc w:val="both"/>
        <w:rPr>
          <w:rFonts w:ascii="Arial" w:hAnsi="Arial" w:cs="Arial"/>
          <w:sz w:val="20"/>
          <w:szCs w:val="20"/>
        </w:rPr>
      </w:pPr>
    </w:p>
    <w:p w:rsidR="00301F03" w:rsidRPr="002D092D" w:rsidRDefault="00301F03" w:rsidP="00CB73FA">
      <w:pPr>
        <w:jc w:val="center"/>
        <w:rPr>
          <w:rFonts w:ascii="Arial" w:hAnsi="Arial" w:cs="Arial"/>
          <w:b/>
          <w:sz w:val="20"/>
          <w:szCs w:val="20"/>
        </w:rPr>
      </w:pPr>
      <w:r w:rsidRPr="002D092D">
        <w:rPr>
          <w:rFonts w:ascii="Arial" w:hAnsi="Arial" w:cs="Arial"/>
          <w:b/>
          <w:sz w:val="20"/>
          <w:szCs w:val="20"/>
        </w:rPr>
        <w:t>RELAZIONE SULLA GESTIONE CONSOLIDATA E NOTA INTEGRATIVA AL BILANCIO CONSOLIDATO PER L’ESERCIZIO 201</w:t>
      </w:r>
      <w:r w:rsidR="00440990" w:rsidRPr="002D092D">
        <w:rPr>
          <w:rFonts w:ascii="Arial" w:hAnsi="Arial" w:cs="Arial"/>
          <w:b/>
          <w:sz w:val="20"/>
          <w:szCs w:val="20"/>
        </w:rPr>
        <w:t>5</w:t>
      </w:r>
    </w:p>
    <w:p w:rsidR="00301F03" w:rsidRPr="002D092D" w:rsidRDefault="00301F03" w:rsidP="00CB73FA">
      <w:pPr>
        <w:jc w:val="center"/>
        <w:rPr>
          <w:rFonts w:ascii="Arial" w:hAnsi="Arial" w:cs="Arial"/>
          <w:b/>
          <w:sz w:val="20"/>
          <w:szCs w:val="20"/>
        </w:rPr>
      </w:pPr>
      <w:r w:rsidRPr="002D092D">
        <w:rPr>
          <w:rFonts w:ascii="Arial" w:hAnsi="Arial" w:cs="Arial"/>
          <w:b/>
          <w:sz w:val="20"/>
          <w:szCs w:val="20"/>
        </w:rPr>
        <w:t>(art. 11-bis, comma 2, lettera a), D.Lgs. n. 118/2011)</w:t>
      </w:r>
    </w:p>
    <w:p w:rsidR="00301F03" w:rsidRPr="002D092D" w:rsidRDefault="00301F03" w:rsidP="00CB73FA">
      <w:pPr>
        <w:jc w:val="both"/>
        <w:rPr>
          <w:rFonts w:ascii="Arial" w:hAnsi="Arial" w:cs="Arial"/>
          <w:sz w:val="20"/>
          <w:szCs w:val="20"/>
        </w:rPr>
      </w:pPr>
    </w:p>
    <w:p w:rsidR="00301F03" w:rsidRPr="002D092D" w:rsidRDefault="00301F03" w:rsidP="00CB73FA">
      <w:pPr>
        <w:jc w:val="both"/>
        <w:rPr>
          <w:rFonts w:ascii="Arial" w:hAnsi="Arial" w:cs="Arial"/>
          <w:sz w:val="20"/>
          <w:szCs w:val="20"/>
        </w:rPr>
      </w:pPr>
    </w:p>
    <w:p w:rsidR="00301F03" w:rsidRPr="002D092D" w:rsidRDefault="00301F03" w:rsidP="00CB73FA">
      <w:pPr>
        <w:jc w:val="both"/>
        <w:rPr>
          <w:rFonts w:ascii="Arial" w:hAnsi="Arial" w:cs="Arial"/>
          <w:sz w:val="20"/>
          <w:szCs w:val="20"/>
        </w:rPr>
      </w:pPr>
    </w:p>
    <w:p w:rsidR="00AB03F1" w:rsidRPr="002D092D" w:rsidRDefault="00AB03F1" w:rsidP="00CB73FA">
      <w:pPr>
        <w:jc w:val="both"/>
        <w:rPr>
          <w:rFonts w:ascii="Arial" w:hAnsi="Arial" w:cs="Arial"/>
          <w:sz w:val="20"/>
          <w:szCs w:val="20"/>
        </w:rPr>
      </w:pPr>
    </w:p>
    <w:p w:rsidR="00AB03F1" w:rsidRPr="002D092D" w:rsidRDefault="00AB03F1" w:rsidP="00CB73FA">
      <w:pPr>
        <w:jc w:val="both"/>
        <w:rPr>
          <w:rFonts w:ascii="Arial" w:hAnsi="Arial" w:cs="Arial"/>
          <w:sz w:val="20"/>
          <w:szCs w:val="20"/>
        </w:rPr>
      </w:pPr>
    </w:p>
    <w:p w:rsidR="00AB03F1" w:rsidRPr="002D092D" w:rsidRDefault="00AB03F1" w:rsidP="00CB73FA">
      <w:pPr>
        <w:jc w:val="both"/>
        <w:rPr>
          <w:rFonts w:ascii="Arial" w:hAnsi="Arial" w:cs="Arial"/>
          <w:sz w:val="20"/>
          <w:szCs w:val="20"/>
        </w:rPr>
      </w:pPr>
    </w:p>
    <w:p w:rsidR="00AB03F1" w:rsidRPr="002D092D" w:rsidRDefault="00AB03F1" w:rsidP="00CB73FA">
      <w:pPr>
        <w:jc w:val="both"/>
        <w:rPr>
          <w:rFonts w:ascii="Arial" w:hAnsi="Arial" w:cs="Arial"/>
          <w:sz w:val="20"/>
          <w:szCs w:val="20"/>
        </w:rPr>
      </w:pPr>
    </w:p>
    <w:p w:rsidR="00AB03F1" w:rsidRPr="002D092D" w:rsidRDefault="00AB03F1" w:rsidP="00CB73FA">
      <w:pPr>
        <w:jc w:val="both"/>
        <w:rPr>
          <w:rFonts w:ascii="Arial" w:hAnsi="Arial" w:cs="Arial"/>
          <w:sz w:val="20"/>
          <w:szCs w:val="20"/>
        </w:rPr>
      </w:pPr>
    </w:p>
    <w:p w:rsidR="00AB03F1" w:rsidRPr="002D092D" w:rsidRDefault="00AB03F1" w:rsidP="00CB73FA">
      <w:pPr>
        <w:jc w:val="right"/>
        <w:rPr>
          <w:rFonts w:ascii="Arial" w:hAnsi="Arial" w:cs="Arial"/>
          <w:sz w:val="20"/>
          <w:szCs w:val="20"/>
        </w:rPr>
      </w:pPr>
      <w:r w:rsidRPr="002D092D">
        <w:rPr>
          <w:rFonts w:ascii="Arial" w:hAnsi="Arial" w:cs="Arial"/>
          <w:sz w:val="20"/>
          <w:szCs w:val="20"/>
        </w:rPr>
        <w:t>(approvata con deliberazione consiliare n.  del )</w:t>
      </w:r>
    </w:p>
    <w:p w:rsidR="00301F03" w:rsidRPr="002D092D" w:rsidRDefault="00301F03" w:rsidP="00CB73FA">
      <w:pPr>
        <w:jc w:val="both"/>
        <w:rPr>
          <w:rFonts w:ascii="Arial" w:hAnsi="Arial" w:cs="Arial"/>
          <w:sz w:val="20"/>
          <w:szCs w:val="20"/>
        </w:rPr>
      </w:pPr>
    </w:p>
    <w:p w:rsidR="00AB03F1" w:rsidRPr="002D092D" w:rsidRDefault="00AB03F1" w:rsidP="00CB73FA">
      <w:pPr>
        <w:jc w:val="both"/>
        <w:rPr>
          <w:rFonts w:ascii="Arial" w:hAnsi="Arial" w:cs="Arial"/>
          <w:sz w:val="20"/>
          <w:szCs w:val="20"/>
        </w:rPr>
      </w:pPr>
      <w:r w:rsidRPr="002D092D">
        <w:rPr>
          <w:rFonts w:ascii="Arial" w:hAnsi="Arial" w:cs="Arial"/>
          <w:sz w:val="20"/>
          <w:szCs w:val="20"/>
        </w:rPr>
        <w:br w:type="page"/>
      </w:r>
    </w:p>
    <w:p w:rsidR="00AB03F1" w:rsidRPr="002D092D" w:rsidRDefault="00AB03F1" w:rsidP="00CB73FA">
      <w:pPr>
        <w:jc w:val="both"/>
        <w:rPr>
          <w:rFonts w:ascii="Arial" w:hAnsi="Arial" w:cs="Arial"/>
          <w:sz w:val="20"/>
          <w:szCs w:val="20"/>
        </w:rPr>
      </w:pPr>
    </w:p>
    <w:p w:rsidR="00AB03F1" w:rsidRPr="002D092D" w:rsidRDefault="00AB03F1" w:rsidP="00CB73FA">
      <w:pPr>
        <w:jc w:val="both"/>
        <w:rPr>
          <w:rFonts w:ascii="Arial" w:hAnsi="Arial" w:cs="Arial"/>
          <w:b/>
          <w:sz w:val="20"/>
          <w:szCs w:val="20"/>
        </w:rPr>
      </w:pPr>
      <w:r w:rsidRPr="002D092D">
        <w:rPr>
          <w:rFonts w:ascii="Arial" w:hAnsi="Arial" w:cs="Arial"/>
          <w:b/>
          <w:sz w:val="20"/>
          <w:szCs w:val="20"/>
        </w:rPr>
        <w:t>NORMATIVA DI RIFERIMENTO</w:t>
      </w:r>
    </w:p>
    <w:p w:rsidR="00AB03F1" w:rsidRPr="002D092D" w:rsidRDefault="00AB03F1" w:rsidP="00CB73FA">
      <w:pPr>
        <w:jc w:val="both"/>
        <w:rPr>
          <w:rFonts w:ascii="Arial" w:hAnsi="Arial" w:cs="Arial"/>
          <w:sz w:val="20"/>
          <w:szCs w:val="20"/>
        </w:rPr>
      </w:pPr>
    </w:p>
    <w:p w:rsidR="00265E1A" w:rsidRPr="002D092D" w:rsidRDefault="00265E1A" w:rsidP="00CB73FA">
      <w:pPr>
        <w:jc w:val="both"/>
        <w:rPr>
          <w:rFonts w:ascii="Arial" w:hAnsi="Arial" w:cs="Arial"/>
          <w:sz w:val="20"/>
          <w:szCs w:val="20"/>
        </w:rPr>
      </w:pPr>
      <w:r w:rsidRPr="002D092D">
        <w:rPr>
          <w:rFonts w:ascii="Arial" w:hAnsi="Arial" w:cs="Arial"/>
          <w:sz w:val="20"/>
          <w:szCs w:val="20"/>
        </w:rPr>
        <w:t>Negli ultimi anni gli enti locali hanno cercato di soddisfare i bisogni dei cittadini e degli utenti utilizzan</w:t>
      </w:r>
      <w:r w:rsidR="00464C75">
        <w:rPr>
          <w:rFonts w:ascii="Arial" w:hAnsi="Arial" w:cs="Arial"/>
          <w:sz w:val="20"/>
          <w:szCs w:val="20"/>
        </w:rPr>
        <w:t>d</w:t>
      </w:r>
      <w:r w:rsidRPr="002D092D">
        <w:rPr>
          <w:rFonts w:ascii="Arial" w:hAnsi="Arial" w:cs="Arial"/>
          <w:sz w:val="20"/>
          <w:szCs w:val="20"/>
        </w:rPr>
        <w:t>o tutti i modelli organizzativi e gestionali disponibili: aziende speciali, istituzioni, società, ecc.</w:t>
      </w:r>
      <w:r w:rsidR="003822C0" w:rsidRPr="002D092D">
        <w:rPr>
          <w:rFonts w:ascii="Arial" w:hAnsi="Arial" w:cs="Arial"/>
          <w:sz w:val="20"/>
          <w:szCs w:val="20"/>
        </w:rPr>
        <w:t xml:space="preserve"> .</w:t>
      </w:r>
    </w:p>
    <w:p w:rsidR="00265E1A" w:rsidRPr="002D092D" w:rsidRDefault="00265E1A" w:rsidP="00CB73FA">
      <w:pPr>
        <w:jc w:val="both"/>
        <w:rPr>
          <w:rFonts w:ascii="Arial" w:hAnsi="Arial" w:cs="Arial"/>
          <w:sz w:val="20"/>
          <w:szCs w:val="20"/>
        </w:rPr>
      </w:pPr>
      <w:r w:rsidRPr="002D092D">
        <w:rPr>
          <w:rFonts w:ascii="Arial" w:hAnsi="Arial" w:cs="Arial"/>
          <w:sz w:val="20"/>
          <w:szCs w:val="20"/>
        </w:rPr>
        <w:t>Il legislatore ha più volte manifestato la volontà di rendere sempre più trasparenti e verificabili, anche da parte dei cittadini, le gestioni dell’ente locale inteso come gruppo composto dall’ente locale stesso e dai suoi enti strumentali ed operativi esterni.</w:t>
      </w:r>
    </w:p>
    <w:p w:rsidR="00265E1A" w:rsidRPr="002D092D" w:rsidRDefault="00265E1A" w:rsidP="00CB73FA">
      <w:pPr>
        <w:jc w:val="both"/>
        <w:rPr>
          <w:rFonts w:ascii="Arial" w:hAnsi="Arial" w:cs="Arial"/>
          <w:sz w:val="20"/>
          <w:szCs w:val="20"/>
        </w:rPr>
      </w:pPr>
      <w:r w:rsidRPr="002D092D">
        <w:rPr>
          <w:rFonts w:ascii="Arial" w:hAnsi="Arial" w:cs="Arial"/>
          <w:sz w:val="20"/>
          <w:szCs w:val="20"/>
        </w:rPr>
        <w:t>Si pensi ai primi tre commi dell’art. 147-quater del D.Lgs. n. 267/2000:</w:t>
      </w:r>
    </w:p>
    <w:p w:rsidR="00265E1A" w:rsidRPr="002D092D" w:rsidRDefault="009B4697" w:rsidP="00CB73FA">
      <w:pPr>
        <w:jc w:val="both"/>
        <w:rPr>
          <w:rFonts w:ascii="Arial" w:hAnsi="Arial" w:cs="Arial"/>
          <w:i/>
          <w:sz w:val="20"/>
          <w:szCs w:val="20"/>
        </w:rPr>
      </w:pPr>
      <w:r w:rsidRPr="002D092D">
        <w:rPr>
          <w:rFonts w:ascii="Arial" w:hAnsi="Arial" w:cs="Arial"/>
          <w:i/>
          <w:sz w:val="20"/>
          <w:szCs w:val="20"/>
        </w:rPr>
        <w:t>“</w:t>
      </w:r>
      <w:r w:rsidR="00265E1A" w:rsidRPr="002D092D">
        <w:rPr>
          <w:rFonts w:ascii="Arial" w:hAnsi="Arial" w:cs="Arial"/>
          <w:i/>
          <w:sz w:val="20"/>
          <w:szCs w:val="20"/>
        </w:rPr>
        <w:t>1. L'ente locale definisce, secondo la propria autonomia organizzativa, un sistema di controlli sulle società non quotate, partecipate dallo stesso ente locale. Tali controlli sono esercitati dalle strutture proprie dell'ente locale, che ne sono responsabili.</w:t>
      </w:r>
    </w:p>
    <w:p w:rsidR="00265E1A" w:rsidRPr="002D092D" w:rsidRDefault="00265E1A" w:rsidP="00CB73FA">
      <w:pPr>
        <w:jc w:val="both"/>
        <w:rPr>
          <w:rFonts w:ascii="Arial" w:hAnsi="Arial" w:cs="Arial"/>
          <w:i/>
          <w:sz w:val="20"/>
          <w:szCs w:val="20"/>
        </w:rPr>
      </w:pPr>
      <w:r w:rsidRPr="002D092D">
        <w:rPr>
          <w:rFonts w:ascii="Arial" w:hAnsi="Arial" w:cs="Arial"/>
          <w:i/>
          <w:sz w:val="20"/>
          <w:szCs w:val="20"/>
        </w:rPr>
        <w:t>2. Per l'attuazione di quanto previsto al comma 1 del presente articolo, l'amministrazione definisce preventivamente, in riferimento all'articolo 170, comma 6</w:t>
      </w:r>
      <w:r w:rsidR="00670C33" w:rsidRPr="002D092D">
        <w:rPr>
          <w:rStyle w:val="Rimandonotaapidipagina"/>
          <w:rFonts w:ascii="Arial" w:hAnsi="Arial" w:cs="Arial"/>
          <w:i/>
          <w:sz w:val="20"/>
          <w:szCs w:val="20"/>
        </w:rPr>
        <w:footnoteReference w:id="1"/>
      </w:r>
      <w:r w:rsidRPr="002D092D">
        <w:rPr>
          <w:rFonts w:ascii="Arial" w:hAnsi="Arial" w:cs="Arial"/>
          <w:i/>
          <w:sz w:val="20"/>
          <w:szCs w:val="20"/>
        </w:rPr>
        <w:t>, gli obiettivi gestionali a cui deve tendere la società partecipata, secondo parametri qualitativi e quantitativi, e organizza un idoneo sistema informativo finalizzato a rilevare i rapporti finanziari tra l'ente proprietario e la società, la situazione contabile, gestionale e organizzativa della società, i contratti di servizio, la qualità dei servizi, il rispetto delle norme di legge sui vincoli di finanza pubblica.</w:t>
      </w:r>
    </w:p>
    <w:p w:rsidR="00265E1A" w:rsidRPr="002D092D" w:rsidRDefault="00265E1A" w:rsidP="00CB73FA">
      <w:pPr>
        <w:jc w:val="both"/>
        <w:rPr>
          <w:rFonts w:ascii="Arial" w:hAnsi="Arial" w:cs="Arial"/>
          <w:i/>
          <w:sz w:val="20"/>
          <w:szCs w:val="20"/>
        </w:rPr>
      </w:pPr>
      <w:r w:rsidRPr="002D092D">
        <w:rPr>
          <w:rFonts w:ascii="Arial" w:hAnsi="Arial" w:cs="Arial"/>
          <w:i/>
          <w:sz w:val="20"/>
          <w:szCs w:val="20"/>
        </w:rPr>
        <w:t xml:space="preserve">3. Sulla base delle informazioni di cui al comma 2, l'ente locale effettua il monitoraggio periodico sull'andamento delle società non quotate partecipate, analizza gli scostamenti rispetto agli obiettivi assegnati e individua le opportune azioni correttive, anche in riferimento a possibili squilibri economico-finanziari rilevanti per </w:t>
      </w:r>
      <w:r w:rsidR="009B4697" w:rsidRPr="002D092D">
        <w:rPr>
          <w:rFonts w:ascii="Arial" w:hAnsi="Arial" w:cs="Arial"/>
          <w:i/>
          <w:sz w:val="20"/>
          <w:szCs w:val="20"/>
        </w:rPr>
        <w:t>il bilancio dell'ente.”</w:t>
      </w:r>
    </w:p>
    <w:p w:rsidR="00265E1A" w:rsidRPr="002D092D" w:rsidRDefault="009B4697" w:rsidP="00CB73FA">
      <w:pPr>
        <w:jc w:val="both"/>
        <w:rPr>
          <w:rFonts w:ascii="Arial" w:hAnsi="Arial" w:cs="Arial"/>
          <w:sz w:val="20"/>
          <w:szCs w:val="20"/>
        </w:rPr>
      </w:pPr>
      <w:r w:rsidRPr="002D092D">
        <w:rPr>
          <w:rFonts w:ascii="Arial" w:hAnsi="Arial" w:cs="Arial"/>
          <w:sz w:val="20"/>
          <w:szCs w:val="20"/>
        </w:rPr>
        <w:t>Si pensi altresì all’art. 11, comma 6, lettera j), del D.Lgs. n. 118/2011:</w:t>
      </w:r>
    </w:p>
    <w:p w:rsidR="009B4697" w:rsidRPr="002D092D" w:rsidRDefault="009B4697" w:rsidP="00CB73FA">
      <w:pPr>
        <w:jc w:val="both"/>
        <w:rPr>
          <w:rFonts w:ascii="Arial" w:hAnsi="Arial" w:cs="Arial"/>
          <w:i/>
          <w:sz w:val="20"/>
          <w:szCs w:val="20"/>
        </w:rPr>
      </w:pPr>
      <w:r w:rsidRPr="002D092D">
        <w:rPr>
          <w:rFonts w:ascii="Arial" w:hAnsi="Arial" w:cs="Arial"/>
          <w:i/>
          <w:sz w:val="20"/>
          <w:szCs w:val="20"/>
        </w:rPr>
        <w:t>“6. La relazione sulla gestione allegata al rendiconto è un documento illustrativo della gestione dell'ente, nonché dei fatti di rilievo verificatisi dopo la chiusura dell'esercizio e di ogni eventuale informazione utile ad una migliore comprensione dei dati contabili. In particolare la relazione illustra:</w:t>
      </w:r>
    </w:p>
    <w:p w:rsidR="009B4697" w:rsidRPr="002D092D" w:rsidRDefault="009B4697" w:rsidP="00CB73FA">
      <w:pPr>
        <w:jc w:val="both"/>
        <w:rPr>
          <w:rFonts w:ascii="Arial" w:hAnsi="Arial" w:cs="Arial"/>
          <w:i/>
          <w:sz w:val="20"/>
          <w:szCs w:val="20"/>
        </w:rPr>
      </w:pPr>
      <w:r w:rsidRPr="002D092D">
        <w:rPr>
          <w:rFonts w:ascii="Arial" w:hAnsi="Arial" w:cs="Arial"/>
          <w:i/>
          <w:sz w:val="20"/>
          <w:szCs w:val="20"/>
        </w:rPr>
        <w:t>…</w:t>
      </w:r>
    </w:p>
    <w:p w:rsidR="00265E1A" w:rsidRPr="002D092D" w:rsidRDefault="009B4697" w:rsidP="00CB73FA">
      <w:pPr>
        <w:jc w:val="both"/>
        <w:rPr>
          <w:rFonts w:ascii="Arial" w:hAnsi="Arial" w:cs="Arial"/>
          <w:i/>
          <w:sz w:val="20"/>
          <w:szCs w:val="20"/>
        </w:rPr>
      </w:pPr>
      <w:r w:rsidRPr="002D092D">
        <w:rPr>
          <w:rFonts w:ascii="Arial" w:hAnsi="Arial" w:cs="Arial"/>
          <w:i/>
          <w:sz w:val="20"/>
          <w:szCs w:val="20"/>
        </w:rPr>
        <w:t>j) gli esiti della verifica dei crediti e debiti reciproci con i propri enti strumentali e le società controllate e partecipate. La predetta informativa, asseverata dai rispettivi organi di revisione, evidenzia analiticamente eventuali discordanze e ne fornisce la motivazione; in tal caso l'ente assume senza indugio, e comunque non oltre il termine dell'esercizio finanziario in corso, i provvedimenti necessari ai fini della riconciliazione delle partite debitorie e creditorie;</w:t>
      </w:r>
    </w:p>
    <w:p w:rsidR="009B4697" w:rsidRPr="002D092D" w:rsidRDefault="009B4697" w:rsidP="00CB73FA">
      <w:pPr>
        <w:jc w:val="both"/>
        <w:rPr>
          <w:rFonts w:ascii="Arial" w:hAnsi="Arial" w:cs="Arial"/>
          <w:i/>
          <w:sz w:val="20"/>
          <w:szCs w:val="20"/>
        </w:rPr>
      </w:pPr>
      <w:r w:rsidRPr="002D092D">
        <w:rPr>
          <w:rFonts w:ascii="Arial" w:hAnsi="Arial" w:cs="Arial"/>
          <w:i/>
          <w:sz w:val="20"/>
          <w:szCs w:val="20"/>
        </w:rPr>
        <w:t>…”</w:t>
      </w:r>
    </w:p>
    <w:p w:rsidR="00265E1A" w:rsidRPr="002D092D" w:rsidRDefault="009B4697" w:rsidP="00CB73FA">
      <w:pPr>
        <w:jc w:val="both"/>
        <w:rPr>
          <w:rFonts w:ascii="Arial" w:hAnsi="Arial" w:cs="Arial"/>
          <w:sz w:val="20"/>
          <w:szCs w:val="20"/>
        </w:rPr>
      </w:pPr>
      <w:r w:rsidRPr="002D092D">
        <w:rPr>
          <w:rFonts w:ascii="Arial" w:hAnsi="Arial" w:cs="Arial"/>
          <w:sz w:val="20"/>
          <w:szCs w:val="20"/>
        </w:rPr>
        <w:t>Ancora, si consideri</w:t>
      </w:r>
      <w:r w:rsidR="005D482F" w:rsidRPr="002D092D">
        <w:rPr>
          <w:rFonts w:ascii="Arial" w:hAnsi="Arial" w:cs="Arial"/>
          <w:sz w:val="20"/>
          <w:szCs w:val="20"/>
        </w:rPr>
        <w:t>no i commi da 550 a 555 dell’art. 1 della legge n. 147/2013:</w:t>
      </w:r>
    </w:p>
    <w:p w:rsidR="005D482F" w:rsidRPr="002D092D" w:rsidRDefault="005D482F" w:rsidP="00CB73FA">
      <w:pPr>
        <w:jc w:val="both"/>
        <w:rPr>
          <w:rFonts w:ascii="Arial" w:hAnsi="Arial" w:cs="Arial"/>
          <w:i/>
          <w:sz w:val="20"/>
          <w:szCs w:val="20"/>
        </w:rPr>
      </w:pPr>
      <w:r w:rsidRPr="002D092D">
        <w:rPr>
          <w:rFonts w:ascii="Arial" w:hAnsi="Arial" w:cs="Arial"/>
          <w:i/>
          <w:sz w:val="20"/>
          <w:szCs w:val="20"/>
        </w:rPr>
        <w:t>“550. Le disposizioni del presente comma e dei commi da 551 a 562 si applicano alle aziende speciali, alle istituzioni e alle società partecipate dalle pubbliche amministrazioni locali indicate nell'elenco di cui all'articolo 1, comma 3, della legge 31 dicembre</w:t>
      </w:r>
      <w:r w:rsidR="00E16A97" w:rsidRPr="002D092D">
        <w:rPr>
          <w:rFonts w:ascii="Arial" w:hAnsi="Arial" w:cs="Arial"/>
          <w:i/>
          <w:sz w:val="20"/>
          <w:szCs w:val="20"/>
        </w:rPr>
        <w:t xml:space="preserve"> </w:t>
      </w:r>
      <w:r w:rsidRPr="002D092D">
        <w:rPr>
          <w:rFonts w:ascii="Arial" w:hAnsi="Arial" w:cs="Arial"/>
          <w:i/>
          <w:sz w:val="20"/>
          <w:szCs w:val="20"/>
        </w:rPr>
        <w:t>2009, n. 196. Sono esclusi gli intermediari finanziari di cui all'articolo 106 del testo unico di cui al decreto legislativo 1º</w:t>
      </w:r>
      <w:r w:rsidR="00964891" w:rsidRPr="002D092D">
        <w:rPr>
          <w:rFonts w:ascii="Arial" w:hAnsi="Arial" w:cs="Arial"/>
          <w:i/>
          <w:sz w:val="20"/>
          <w:szCs w:val="20"/>
        </w:rPr>
        <w:t xml:space="preserve"> </w:t>
      </w:r>
      <w:r w:rsidRPr="002D092D">
        <w:rPr>
          <w:rFonts w:ascii="Arial" w:hAnsi="Arial" w:cs="Arial"/>
          <w:i/>
          <w:sz w:val="20"/>
          <w:szCs w:val="20"/>
        </w:rPr>
        <w:t>settembre 1993, n. 385, nonché le società emittenti strumenti finanziari quotati nei mercati regolamentati e le loro controllate.</w:t>
      </w:r>
    </w:p>
    <w:p w:rsidR="005D482F" w:rsidRPr="002D092D" w:rsidRDefault="005D482F" w:rsidP="00CB73FA">
      <w:pPr>
        <w:jc w:val="both"/>
        <w:rPr>
          <w:rFonts w:ascii="Arial" w:hAnsi="Arial" w:cs="Arial"/>
          <w:i/>
          <w:sz w:val="20"/>
          <w:szCs w:val="20"/>
        </w:rPr>
      </w:pPr>
      <w:r w:rsidRPr="002D092D">
        <w:rPr>
          <w:rFonts w:ascii="Arial" w:hAnsi="Arial" w:cs="Arial"/>
          <w:i/>
          <w:sz w:val="20"/>
          <w:szCs w:val="20"/>
        </w:rPr>
        <w:t xml:space="preserve">551. Nel caso in cui i soggetti di cui al comma 550 presentino un risultato di esercizio o saldo finanziario negativo, le pubbliche amministrazioni locali partecipanti accantonano nell'anno successivo in apposito fondo vincolato un importo pari al risultato negativo non immediatamente ripianato, in misura proporzionale alla quota di partecipazione. Per le società che redigono il bilancio consolidato, il risultato di esercizio è quello relativo a </w:t>
      </w:r>
      <w:r w:rsidRPr="002D092D">
        <w:rPr>
          <w:rFonts w:ascii="Arial" w:hAnsi="Arial" w:cs="Arial"/>
          <w:i/>
          <w:sz w:val="20"/>
          <w:szCs w:val="20"/>
        </w:rPr>
        <w:lastRenderedPageBreak/>
        <w:t>tale bilancio. Limitatamente alle società che svolgono servizi pubblici a rete di rilevanza economica, compresa la gestione dei rifiuti, per risultatosi intende la differenza tra valore e costi della produzione ai sensi dell'articolo 2425 del codice civile. L'importo accantonato è reso disponibile in misura proporzionale alla quota di partecipazione nel caso in cui l'ente partecipante ripiani la perdita di esercizio o dismetta la partecipazione o il soggetto partecipato sia posto in liquidazione. Nel caso in cui i soggetti partecipati ripianino in tutto o in parte le perdite conseguite negli esercizi precedenti l'importo accantonato viene reso disponibile agli enti partecipanti in misura corrispondente e proporzionale alla quota di partecipazione.</w:t>
      </w:r>
    </w:p>
    <w:p w:rsidR="005D482F" w:rsidRPr="002D092D" w:rsidRDefault="005D482F" w:rsidP="00CB73FA">
      <w:pPr>
        <w:jc w:val="both"/>
        <w:rPr>
          <w:rFonts w:ascii="Arial" w:hAnsi="Arial" w:cs="Arial"/>
          <w:i/>
          <w:sz w:val="20"/>
          <w:szCs w:val="20"/>
        </w:rPr>
      </w:pPr>
      <w:r w:rsidRPr="002D092D">
        <w:rPr>
          <w:rFonts w:ascii="Arial" w:hAnsi="Arial" w:cs="Arial"/>
          <w:i/>
          <w:sz w:val="20"/>
          <w:szCs w:val="20"/>
        </w:rPr>
        <w:t>552. Gli accantonamenti di cui al comma 551 si applicano a decorrere dall'anno 2015. In sede di prima applicazione, per gli anni</w:t>
      </w:r>
      <w:r w:rsidR="00E16A97" w:rsidRPr="002D092D">
        <w:rPr>
          <w:rFonts w:ascii="Arial" w:hAnsi="Arial" w:cs="Arial"/>
          <w:i/>
          <w:sz w:val="20"/>
          <w:szCs w:val="20"/>
        </w:rPr>
        <w:t xml:space="preserve"> </w:t>
      </w:r>
      <w:r w:rsidRPr="002D092D">
        <w:rPr>
          <w:rFonts w:ascii="Arial" w:hAnsi="Arial" w:cs="Arial"/>
          <w:i/>
          <w:sz w:val="20"/>
          <w:szCs w:val="20"/>
        </w:rPr>
        <w:t>2015, 2016 e 2017:</w:t>
      </w:r>
    </w:p>
    <w:p w:rsidR="005D482F" w:rsidRPr="002D092D" w:rsidRDefault="005D482F" w:rsidP="00CB73FA">
      <w:pPr>
        <w:jc w:val="both"/>
        <w:rPr>
          <w:rFonts w:ascii="Arial" w:hAnsi="Arial" w:cs="Arial"/>
          <w:i/>
          <w:sz w:val="20"/>
          <w:szCs w:val="20"/>
        </w:rPr>
      </w:pPr>
      <w:r w:rsidRPr="002D092D">
        <w:rPr>
          <w:rFonts w:ascii="Arial" w:hAnsi="Arial" w:cs="Arial"/>
          <w:i/>
          <w:sz w:val="20"/>
          <w:szCs w:val="20"/>
        </w:rPr>
        <w:t>a) l'ente partecipante di soggetti che hanno registrato nel triennio 2011-2013 un risultato medio negativo accantona, in proporzione alla quota di partecipazione, una somma pari alla differenza tra il risultato conseguito nell'esercizio precedente e il risultato medio 2011-2013 migliorato, rispettivamente, del 25 percento per il 2014, del 50 per cento per il 2015 e del 75 per cento per il 2016. Qualora il risultato negativo sia peggiore di quello medio registrato nel triennio 2011-2013, l'accantonamento è operato nella misura indicata dalla lettera b);</w:t>
      </w:r>
    </w:p>
    <w:p w:rsidR="005D482F" w:rsidRPr="002D092D" w:rsidRDefault="005D482F" w:rsidP="00CB73FA">
      <w:pPr>
        <w:jc w:val="both"/>
        <w:rPr>
          <w:rFonts w:ascii="Arial" w:hAnsi="Arial" w:cs="Arial"/>
          <w:i/>
          <w:sz w:val="20"/>
          <w:szCs w:val="20"/>
        </w:rPr>
      </w:pPr>
      <w:r w:rsidRPr="002D092D">
        <w:rPr>
          <w:rFonts w:ascii="Arial" w:hAnsi="Arial" w:cs="Arial"/>
          <w:i/>
          <w:sz w:val="20"/>
          <w:szCs w:val="20"/>
        </w:rPr>
        <w:t xml:space="preserve"> b) l'ente partecipante di soggetti che hanno registrato nel triennio 2011-2013 un risultato medio non negativo accantona, in misura proporzionale alla quota di partecipazione, una somma pari al 25 per cento per il 2015, al 50 per cento per il 2016 e al 75 percento per il 2017 del risultato negativo conseguito nell'esercizio precedente.  </w:t>
      </w:r>
    </w:p>
    <w:p w:rsidR="005D482F" w:rsidRPr="002D092D" w:rsidRDefault="005D482F" w:rsidP="00CB73FA">
      <w:pPr>
        <w:jc w:val="both"/>
        <w:rPr>
          <w:rFonts w:ascii="Arial" w:hAnsi="Arial" w:cs="Arial"/>
          <w:i/>
          <w:sz w:val="20"/>
          <w:szCs w:val="20"/>
        </w:rPr>
      </w:pPr>
      <w:r w:rsidRPr="002D092D">
        <w:rPr>
          <w:rFonts w:ascii="Arial" w:hAnsi="Arial" w:cs="Arial"/>
          <w:i/>
          <w:sz w:val="20"/>
          <w:szCs w:val="20"/>
        </w:rPr>
        <w:t>553. A decorrere dall'esercizio 2014 i soggetti di cui al comma 550 a partecipazione di maggioranza, diretta e indiretta, delle pubbliche amministrazioni locali concorrono alla realizzazione degli obiettivi di finanza pubblica, perseguendo la sana gestione dei servizi secondo criteri di economicità e di efficienza. Per i servizi pubblici locali sono individuati parametri standard dei costi e dei rendimenti costruiti nell'ambito della banca dati delle Amministrazioni pubbliche, di cui all'articolo 13 della legge 31 dicembre 2009, n.196, utilizzando le informazioni disponibili presso le Amministrazioni pubbliche. Per i servizi strumentali i parametri standard di riferimento sono costituiti dai prezzi di mercato.</w:t>
      </w:r>
    </w:p>
    <w:p w:rsidR="005D482F" w:rsidRPr="002D092D" w:rsidRDefault="005D482F" w:rsidP="00CB73FA">
      <w:pPr>
        <w:jc w:val="both"/>
        <w:rPr>
          <w:rFonts w:ascii="Arial" w:hAnsi="Arial" w:cs="Arial"/>
          <w:i/>
          <w:sz w:val="20"/>
          <w:szCs w:val="20"/>
        </w:rPr>
      </w:pPr>
      <w:r w:rsidRPr="002D092D">
        <w:rPr>
          <w:rFonts w:ascii="Arial" w:hAnsi="Arial" w:cs="Arial"/>
          <w:i/>
          <w:sz w:val="20"/>
          <w:szCs w:val="20"/>
        </w:rPr>
        <w:t>554. A decorrere dall'esercizio 2015, le aziende speciali, le istituzioni e le società a partecipazione di maggioranza, diretta e indiretta, delle pubbliche amministrazioni locali titolari di affidamento diretto da parte di soggetti pubblici per una quota superiore all'80 per cento del valore della produzione, che nei tre esercizi precedenti abbiano conseguito un risultato economico negativo, procedono alla riduzione del 30 per cento del compenso dei componenti degli organi di amministrazione. Il conseguimento di un risultato economico negativo per due anni consecutivi rappresenta giusta causa ai fini della revoca degli amministratori. Quanto previsto dal presente comma non si applica ai soggetti il cui risultato economico, benché negativo, sia coerente con un piano di risanamento preventivamente approvato dall'ente controllante.</w:t>
      </w:r>
    </w:p>
    <w:p w:rsidR="005D482F" w:rsidRPr="002D092D" w:rsidRDefault="005D482F" w:rsidP="00CB73FA">
      <w:pPr>
        <w:jc w:val="both"/>
        <w:rPr>
          <w:rFonts w:ascii="Arial" w:hAnsi="Arial" w:cs="Arial"/>
          <w:i/>
          <w:sz w:val="20"/>
          <w:szCs w:val="20"/>
        </w:rPr>
      </w:pPr>
      <w:r w:rsidRPr="002D092D">
        <w:rPr>
          <w:rFonts w:ascii="Arial" w:hAnsi="Arial" w:cs="Arial"/>
          <w:i/>
          <w:sz w:val="20"/>
          <w:szCs w:val="20"/>
        </w:rPr>
        <w:t>555. A decorrere dall'esercizio 2017, in caso di risultato negativo per quattro dei cinque esercizi precedenti, i soggetti di cui al comma 554 diversi dalle società che svolgono servizi pubblici locali sono posti in liquidazione entro sei mesi dalla data di approvazione del bilancio o rendiconto relativo all'ultimo esercizio. In caso di mancato avvio della procedura di liquidazione entro il predetto termine, i successivi atti di gestione sono nulli e la loro adozione comporta responsabilità erariale dei soci.”</w:t>
      </w:r>
    </w:p>
    <w:p w:rsidR="009B4697" w:rsidRPr="002D092D" w:rsidRDefault="009B4697" w:rsidP="00CB73FA">
      <w:pPr>
        <w:jc w:val="both"/>
        <w:rPr>
          <w:rFonts w:ascii="Arial" w:hAnsi="Arial" w:cs="Arial"/>
          <w:sz w:val="20"/>
          <w:szCs w:val="20"/>
        </w:rPr>
      </w:pPr>
    </w:p>
    <w:p w:rsidR="00933EDD" w:rsidRPr="002D092D" w:rsidRDefault="00933EDD" w:rsidP="00CB73FA">
      <w:pPr>
        <w:jc w:val="both"/>
        <w:rPr>
          <w:rFonts w:ascii="Arial" w:hAnsi="Arial" w:cs="Arial"/>
          <w:sz w:val="20"/>
          <w:szCs w:val="20"/>
        </w:rPr>
      </w:pPr>
      <w:r w:rsidRPr="002D092D">
        <w:rPr>
          <w:rFonts w:ascii="Arial" w:hAnsi="Arial" w:cs="Arial"/>
          <w:sz w:val="20"/>
          <w:szCs w:val="20"/>
        </w:rPr>
        <w:t>Inoltre, si consideri l’art. 18, comma 2-bis, del decreto-legge n. 112/2008:</w:t>
      </w:r>
    </w:p>
    <w:p w:rsidR="00933EDD" w:rsidRPr="002D092D" w:rsidRDefault="00933EDD" w:rsidP="00CB73FA">
      <w:pPr>
        <w:jc w:val="both"/>
        <w:rPr>
          <w:rFonts w:ascii="Arial" w:hAnsi="Arial" w:cs="Arial"/>
          <w:i/>
          <w:sz w:val="20"/>
          <w:szCs w:val="20"/>
        </w:rPr>
      </w:pPr>
      <w:r w:rsidRPr="002D092D">
        <w:rPr>
          <w:rFonts w:ascii="Arial" w:hAnsi="Arial" w:cs="Arial"/>
          <w:i/>
          <w:sz w:val="20"/>
          <w:szCs w:val="20"/>
        </w:rPr>
        <w:t>“Le aziende speciali, le istituzioni e le società a partecipazione pubblica locale totale o di controllo si attengono al principio di riduzione dei costi del personale, attraverso il contenimento degli oneri contrattuali e delle assunzioni di personale. A tal fine l'ente controllante, con proprio atto di indirizzo, tenuto anche conto delle disposizioni che stabiliscono, a suo carico, divieti o limitazioni alle assunzioni di personale, definisce, per ciascuno dei soggetti di cui al precedente periodo, specifici criteri e modalità di attuazione del principio di contenimento dei costi del personale, tenendo conto del settore in cui ciascun soggetto opera”.</w:t>
      </w:r>
    </w:p>
    <w:p w:rsidR="00933EDD" w:rsidRDefault="00933EDD" w:rsidP="00CB73FA">
      <w:pPr>
        <w:jc w:val="both"/>
        <w:rPr>
          <w:rFonts w:ascii="Arial" w:hAnsi="Arial" w:cs="Arial"/>
          <w:sz w:val="20"/>
          <w:szCs w:val="20"/>
        </w:rPr>
      </w:pPr>
    </w:p>
    <w:p w:rsidR="00CB73FA" w:rsidRPr="002D092D" w:rsidRDefault="00CB73FA" w:rsidP="00CB73FA">
      <w:pPr>
        <w:jc w:val="both"/>
        <w:rPr>
          <w:rFonts w:ascii="Arial" w:hAnsi="Arial" w:cs="Arial"/>
          <w:sz w:val="20"/>
          <w:szCs w:val="20"/>
        </w:rPr>
      </w:pPr>
    </w:p>
    <w:p w:rsidR="00933EDD" w:rsidRPr="002D092D" w:rsidRDefault="00933EDD" w:rsidP="00CB73FA">
      <w:pPr>
        <w:jc w:val="both"/>
        <w:rPr>
          <w:rFonts w:ascii="Arial" w:hAnsi="Arial" w:cs="Arial"/>
          <w:sz w:val="20"/>
          <w:szCs w:val="20"/>
        </w:rPr>
      </w:pPr>
      <w:r w:rsidRPr="002D092D">
        <w:rPr>
          <w:rFonts w:ascii="Arial" w:hAnsi="Arial" w:cs="Arial"/>
          <w:sz w:val="20"/>
          <w:szCs w:val="20"/>
        </w:rPr>
        <w:lastRenderedPageBreak/>
        <w:t>Infine, si legga l’ultimo periodo dell’art. 3, comma 5, del decreto-legge n. 90/2014:</w:t>
      </w:r>
    </w:p>
    <w:p w:rsidR="00933EDD" w:rsidRPr="002D092D" w:rsidRDefault="00933EDD" w:rsidP="00CB73FA">
      <w:pPr>
        <w:jc w:val="both"/>
        <w:rPr>
          <w:rFonts w:ascii="Arial" w:hAnsi="Arial" w:cs="Arial"/>
          <w:i/>
          <w:sz w:val="20"/>
          <w:szCs w:val="20"/>
        </w:rPr>
      </w:pPr>
      <w:r w:rsidRPr="002D092D">
        <w:rPr>
          <w:rFonts w:ascii="Arial" w:hAnsi="Arial" w:cs="Arial"/>
          <w:i/>
          <w:sz w:val="20"/>
          <w:szCs w:val="20"/>
        </w:rPr>
        <w:t>“Le amministrazioni di cui al presente comma coordinano le politiche assunzionali dei soggetti di cui all’articolo 18, comma 2-bis, del citato decreto-legge n. 112 del 2008 al fine di garantire anche per i medesimi soggetti una graduale riduzione della percentuale tra spese di personale e spese correnti, fermo restando quanto previsto dal medesimo articolo 18, comma 2-bis, come da ultimo modificato dal comma 5-quinquies del presente articolo”.</w:t>
      </w:r>
    </w:p>
    <w:p w:rsidR="00933EDD" w:rsidRPr="002D092D" w:rsidRDefault="00933EDD" w:rsidP="00CB73FA">
      <w:pPr>
        <w:jc w:val="both"/>
        <w:rPr>
          <w:rFonts w:ascii="Arial" w:hAnsi="Arial" w:cs="Arial"/>
          <w:sz w:val="20"/>
          <w:szCs w:val="20"/>
        </w:rPr>
      </w:pPr>
    </w:p>
    <w:p w:rsidR="00AB03F1" w:rsidRPr="002D092D" w:rsidRDefault="00AB03F1" w:rsidP="00CB73FA">
      <w:pPr>
        <w:jc w:val="both"/>
        <w:rPr>
          <w:rFonts w:ascii="Arial" w:hAnsi="Arial" w:cs="Arial"/>
          <w:sz w:val="20"/>
          <w:szCs w:val="20"/>
        </w:rPr>
      </w:pPr>
      <w:r w:rsidRPr="002D092D">
        <w:rPr>
          <w:rFonts w:ascii="Arial" w:hAnsi="Arial" w:cs="Arial"/>
          <w:sz w:val="20"/>
          <w:szCs w:val="20"/>
        </w:rPr>
        <w:t>La normativa di riferimento per l’elaborazione, l’esame e l’approvazione del bilancio consolidato degli enti locali con i bilanci dei propri organismi ed enti strumentali e delle società controllate e partecipate è dettata dal legislatore nelle seguenti disposizioni:</w:t>
      </w:r>
    </w:p>
    <w:p w:rsidR="00AB03F1" w:rsidRPr="002D092D" w:rsidRDefault="00AB03F1" w:rsidP="00CB73FA">
      <w:pPr>
        <w:pStyle w:val="Paragrafoelenco"/>
        <w:numPr>
          <w:ilvl w:val="0"/>
          <w:numId w:val="1"/>
        </w:numPr>
        <w:ind w:left="0" w:firstLine="0"/>
        <w:jc w:val="both"/>
        <w:rPr>
          <w:rFonts w:ascii="Arial" w:hAnsi="Arial" w:cs="Arial"/>
          <w:sz w:val="20"/>
          <w:szCs w:val="20"/>
        </w:rPr>
      </w:pPr>
      <w:r w:rsidRPr="002D092D">
        <w:rPr>
          <w:rFonts w:ascii="Arial" w:hAnsi="Arial" w:cs="Arial"/>
          <w:sz w:val="20"/>
          <w:szCs w:val="20"/>
        </w:rPr>
        <w:t>art. 151, comma 8, del D.Lgs. n. 267/2000:</w:t>
      </w:r>
    </w:p>
    <w:p w:rsidR="00AB03F1" w:rsidRPr="002D092D" w:rsidRDefault="00AB03F1" w:rsidP="00CB73FA">
      <w:pPr>
        <w:jc w:val="both"/>
        <w:rPr>
          <w:rFonts w:ascii="Arial" w:hAnsi="Arial" w:cs="Arial"/>
          <w:i/>
          <w:sz w:val="20"/>
          <w:szCs w:val="20"/>
        </w:rPr>
      </w:pPr>
      <w:r w:rsidRPr="002D092D">
        <w:rPr>
          <w:rFonts w:ascii="Arial" w:hAnsi="Arial" w:cs="Arial"/>
          <w:i/>
          <w:sz w:val="20"/>
          <w:szCs w:val="20"/>
        </w:rPr>
        <w:t>“8. Entro il 30 settembre l'ente approva il bilancio consolidato con i bilanci dei propri organismi e enti strumentali e delle società controllate e partecipate, secondo il principio applicato n. 4/4 di cui al decreto legislativo 23 giugno 2011, n. 118”;</w:t>
      </w:r>
    </w:p>
    <w:p w:rsidR="001A2BBC" w:rsidRPr="002D092D" w:rsidRDefault="00AB03F1" w:rsidP="00CB73FA">
      <w:pPr>
        <w:pStyle w:val="Paragrafoelenco"/>
        <w:numPr>
          <w:ilvl w:val="0"/>
          <w:numId w:val="1"/>
        </w:numPr>
        <w:ind w:left="0" w:firstLine="0"/>
        <w:jc w:val="both"/>
        <w:rPr>
          <w:rFonts w:ascii="Arial" w:hAnsi="Arial" w:cs="Arial"/>
          <w:sz w:val="20"/>
          <w:szCs w:val="20"/>
          <w:lang w:val="en-US"/>
        </w:rPr>
      </w:pPr>
      <w:r w:rsidRPr="002D092D">
        <w:rPr>
          <w:rFonts w:ascii="Arial" w:hAnsi="Arial" w:cs="Arial"/>
          <w:sz w:val="20"/>
          <w:szCs w:val="20"/>
          <w:lang w:val="en-US"/>
        </w:rPr>
        <w:t xml:space="preserve">art. </w:t>
      </w:r>
      <w:r w:rsidR="001A2BBC" w:rsidRPr="002D092D">
        <w:rPr>
          <w:rFonts w:ascii="Arial" w:hAnsi="Arial" w:cs="Arial"/>
          <w:sz w:val="20"/>
          <w:szCs w:val="20"/>
          <w:lang w:val="en-US"/>
        </w:rPr>
        <w:t>233-bis del D.Lgs. n. 267/2000:</w:t>
      </w:r>
    </w:p>
    <w:p w:rsidR="00AB03F1" w:rsidRPr="002D092D" w:rsidRDefault="00AB03F1" w:rsidP="00CB73FA">
      <w:pPr>
        <w:jc w:val="both"/>
        <w:rPr>
          <w:rFonts w:ascii="Arial" w:hAnsi="Arial" w:cs="Arial"/>
          <w:i/>
          <w:sz w:val="20"/>
          <w:szCs w:val="20"/>
        </w:rPr>
      </w:pPr>
      <w:r w:rsidRPr="002D092D">
        <w:rPr>
          <w:rFonts w:ascii="Arial" w:hAnsi="Arial" w:cs="Arial"/>
          <w:i/>
          <w:sz w:val="20"/>
          <w:szCs w:val="20"/>
        </w:rPr>
        <w:t xml:space="preserve">“1. Il bilancio consolidato di gruppo è predisposto secondo le modalità previste dal decreto legislativo 23 giugno 2011, n. 118, e </w:t>
      </w:r>
      <w:r w:rsidR="001A2BBC" w:rsidRPr="002D092D">
        <w:rPr>
          <w:rFonts w:ascii="Arial" w:hAnsi="Arial" w:cs="Arial"/>
          <w:i/>
          <w:sz w:val="20"/>
          <w:szCs w:val="20"/>
        </w:rPr>
        <w:t>successive modificazioni.</w:t>
      </w:r>
    </w:p>
    <w:p w:rsidR="00AB03F1" w:rsidRPr="002D092D" w:rsidRDefault="00AB03F1" w:rsidP="00CB73FA">
      <w:pPr>
        <w:jc w:val="both"/>
        <w:rPr>
          <w:rFonts w:ascii="Arial" w:hAnsi="Arial" w:cs="Arial"/>
          <w:i/>
          <w:sz w:val="20"/>
          <w:szCs w:val="20"/>
        </w:rPr>
      </w:pPr>
      <w:r w:rsidRPr="002D092D">
        <w:rPr>
          <w:rFonts w:ascii="Arial" w:hAnsi="Arial" w:cs="Arial"/>
          <w:i/>
          <w:sz w:val="20"/>
          <w:szCs w:val="20"/>
        </w:rPr>
        <w:t xml:space="preserve">2. Il bilancio consolidato </w:t>
      </w:r>
      <w:r w:rsidR="001A2BBC" w:rsidRPr="002D092D">
        <w:rPr>
          <w:rFonts w:ascii="Arial" w:hAnsi="Arial" w:cs="Arial"/>
          <w:i/>
          <w:sz w:val="20"/>
          <w:szCs w:val="20"/>
        </w:rPr>
        <w:t>è</w:t>
      </w:r>
      <w:r w:rsidRPr="002D092D">
        <w:rPr>
          <w:rFonts w:ascii="Arial" w:hAnsi="Arial" w:cs="Arial"/>
          <w:i/>
          <w:sz w:val="20"/>
          <w:szCs w:val="20"/>
        </w:rPr>
        <w:t xml:space="preserve"> redatto secondo lo schema previsto</w:t>
      </w:r>
      <w:r w:rsidR="001A2BBC" w:rsidRPr="002D092D">
        <w:rPr>
          <w:rFonts w:ascii="Arial" w:hAnsi="Arial" w:cs="Arial"/>
          <w:i/>
          <w:sz w:val="20"/>
          <w:szCs w:val="20"/>
        </w:rPr>
        <w:t xml:space="preserve"> </w:t>
      </w:r>
      <w:r w:rsidRPr="002D092D">
        <w:rPr>
          <w:rFonts w:ascii="Arial" w:hAnsi="Arial" w:cs="Arial"/>
          <w:i/>
          <w:sz w:val="20"/>
          <w:szCs w:val="20"/>
        </w:rPr>
        <w:t>dall'allegato n. 11 del decreto legislativo 23 giugno 2011. n. 118, e</w:t>
      </w:r>
      <w:r w:rsidR="001A2BBC" w:rsidRPr="002D092D">
        <w:rPr>
          <w:rFonts w:ascii="Arial" w:hAnsi="Arial" w:cs="Arial"/>
          <w:i/>
          <w:sz w:val="20"/>
          <w:szCs w:val="20"/>
        </w:rPr>
        <w:t xml:space="preserve"> successive modificazioni.</w:t>
      </w:r>
    </w:p>
    <w:p w:rsidR="00AB03F1" w:rsidRPr="002D092D" w:rsidRDefault="00AB03F1" w:rsidP="00CB73FA">
      <w:pPr>
        <w:jc w:val="both"/>
        <w:rPr>
          <w:rFonts w:ascii="Arial" w:hAnsi="Arial" w:cs="Arial"/>
          <w:i/>
          <w:sz w:val="20"/>
          <w:szCs w:val="20"/>
        </w:rPr>
      </w:pPr>
      <w:r w:rsidRPr="002D092D">
        <w:rPr>
          <w:rFonts w:ascii="Arial" w:hAnsi="Arial" w:cs="Arial"/>
          <w:i/>
          <w:sz w:val="20"/>
          <w:szCs w:val="20"/>
        </w:rPr>
        <w:t>3. Gli enti locali con popolazione inferiore a 5.000 abitanti possono</w:t>
      </w:r>
      <w:r w:rsidR="001A2BBC" w:rsidRPr="002D092D">
        <w:rPr>
          <w:rFonts w:ascii="Arial" w:hAnsi="Arial" w:cs="Arial"/>
          <w:i/>
          <w:sz w:val="20"/>
          <w:szCs w:val="20"/>
        </w:rPr>
        <w:t xml:space="preserve"> </w:t>
      </w:r>
      <w:r w:rsidRPr="002D092D">
        <w:rPr>
          <w:rFonts w:ascii="Arial" w:hAnsi="Arial" w:cs="Arial"/>
          <w:i/>
          <w:sz w:val="20"/>
          <w:szCs w:val="20"/>
        </w:rPr>
        <w:t>non predisporre il bilancio consolidato fino all'esercizio 2017</w:t>
      </w:r>
      <w:r w:rsidR="001A2BBC" w:rsidRPr="002D092D">
        <w:rPr>
          <w:rFonts w:ascii="Arial" w:hAnsi="Arial" w:cs="Arial"/>
          <w:i/>
          <w:sz w:val="20"/>
          <w:szCs w:val="20"/>
        </w:rPr>
        <w:t>”</w:t>
      </w:r>
      <w:r w:rsidRPr="002D092D">
        <w:rPr>
          <w:rFonts w:ascii="Arial" w:hAnsi="Arial" w:cs="Arial"/>
          <w:i/>
          <w:sz w:val="20"/>
          <w:szCs w:val="20"/>
        </w:rPr>
        <w:t>.</w:t>
      </w:r>
    </w:p>
    <w:p w:rsidR="00AB03F1" w:rsidRPr="002D092D" w:rsidRDefault="001A2BBC" w:rsidP="00CB73FA">
      <w:pPr>
        <w:pStyle w:val="Paragrafoelenco"/>
        <w:numPr>
          <w:ilvl w:val="0"/>
          <w:numId w:val="1"/>
        </w:numPr>
        <w:ind w:left="0" w:firstLine="0"/>
        <w:jc w:val="both"/>
        <w:rPr>
          <w:rFonts w:ascii="Arial" w:hAnsi="Arial" w:cs="Arial"/>
          <w:sz w:val="20"/>
          <w:szCs w:val="20"/>
        </w:rPr>
      </w:pPr>
      <w:r w:rsidRPr="002D092D">
        <w:rPr>
          <w:rFonts w:ascii="Arial" w:hAnsi="Arial" w:cs="Arial"/>
          <w:sz w:val="20"/>
          <w:szCs w:val="20"/>
        </w:rPr>
        <w:t>art. 147-quater, comma 4, del D.Lgs. n. 267/2000:</w:t>
      </w:r>
    </w:p>
    <w:p w:rsidR="001A2BBC" w:rsidRPr="002D092D" w:rsidRDefault="001A2BBC" w:rsidP="00CB73FA">
      <w:pPr>
        <w:jc w:val="both"/>
        <w:rPr>
          <w:rFonts w:ascii="Arial" w:hAnsi="Arial" w:cs="Arial"/>
          <w:i/>
          <w:sz w:val="20"/>
          <w:szCs w:val="20"/>
        </w:rPr>
      </w:pPr>
      <w:r w:rsidRPr="002D092D">
        <w:rPr>
          <w:rFonts w:ascii="Arial" w:hAnsi="Arial" w:cs="Arial"/>
          <w:i/>
          <w:sz w:val="20"/>
          <w:szCs w:val="20"/>
        </w:rPr>
        <w:t>“4. I risultati complessivi della gestione dell'ente locale e delle aziende non quotate partecipate sono rilevati mediante bilancio consolidato, secondo la competenza economica, predisposto secondo le modalità previste dal decreto legislativo 23 giugno 2011, n. 118, e successive modificazioni”.</w:t>
      </w:r>
    </w:p>
    <w:p w:rsidR="001A2BBC" w:rsidRPr="002D092D" w:rsidRDefault="001A2BBC" w:rsidP="00CB73FA">
      <w:pPr>
        <w:pStyle w:val="Paragrafoelenco"/>
        <w:numPr>
          <w:ilvl w:val="0"/>
          <w:numId w:val="1"/>
        </w:numPr>
        <w:ind w:left="0" w:firstLine="0"/>
        <w:jc w:val="both"/>
        <w:rPr>
          <w:rFonts w:ascii="Arial" w:hAnsi="Arial" w:cs="Arial"/>
          <w:sz w:val="20"/>
          <w:szCs w:val="20"/>
        </w:rPr>
      </w:pPr>
      <w:r w:rsidRPr="002D092D">
        <w:rPr>
          <w:rFonts w:ascii="Arial" w:hAnsi="Arial" w:cs="Arial"/>
          <w:sz w:val="20"/>
          <w:szCs w:val="20"/>
        </w:rPr>
        <w:t>gli articoli da 11-bis a 11-quinquies del D.Lgs. 23 giugno 2011, n. 118;</w:t>
      </w:r>
    </w:p>
    <w:p w:rsidR="00DD1E3E" w:rsidRPr="002D092D" w:rsidRDefault="00DD1E3E" w:rsidP="00CB73FA">
      <w:pPr>
        <w:jc w:val="both"/>
        <w:rPr>
          <w:rFonts w:ascii="Arial" w:hAnsi="Arial" w:cs="Arial"/>
          <w:i/>
          <w:sz w:val="20"/>
          <w:szCs w:val="20"/>
        </w:rPr>
      </w:pPr>
      <w:r w:rsidRPr="002D092D">
        <w:rPr>
          <w:rFonts w:ascii="Arial" w:hAnsi="Arial" w:cs="Arial"/>
          <w:i/>
          <w:sz w:val="20"/>
          <w:szCs w:val="20"/>
        </w:rPr>
        <w:t>articolo 11-bis</w:t>
      </w:r>
    </w:p>
    <w:p w:rsidR="00DD1E3E" w:rsidRPr="002D092D" w:rsidRDefault="00DD1E3E" w:rsidP="00CB73FA">
      <w:pPr>
        <w:jc w:val="both"/>
        <w:rPr>
          <w:rFonts w:ascii="Arial" w:hAnsi="Arial" w:cs="Arial"/>
          <w:i/>
          <w:sz w:val="20"/>
          <w:szCs w:val="20"/>
        </w:rPr>
      </w:pPr>
      <w:r w:rsidRPr="002D092D">
        <w:rPr>
          <w:rFonts w:ascii="Arial" w:hAnsi="Arial" w:cs="Arial"/>
          <w:i/>
          <w:sz w:val="20"/>
          <w:szCs w:val="20"/>
        </w:rPr>
        <w:t>“1. Gli enti di cui all'art. 1, comma 1, redigono il bilancio consolidato con i propri enti ed organismi strumentali, aziende, società controllate e partecipate, secondo le modalità ed i criteri individuati nel principio applicato del bilancio consolidato di cui all'allegato n. 4/4.</w:t>
      </w:r>
    </w:p>
    <w:p w:rsidR="00DD1E3E" w:rsidRPr="002D092D" w:rsidRDefault="00DD1E3E" w:rsidP="00CB73FA">
      <w:pPr>
        <w:jc w:val="both"/>
        <w:rPr>
          <w:rFonts w:ascii="Arial" w:hAnsi="Arial" w:cs="Arial"/>
          <w:i/>
          <w:sz w:val="20"/>
          <w:szCs w:val="20"/>
        </w:rPr>
      </w:pPr>
      <w:r w:rsidRPr="002D092D">
        <w:rPr>
          <w:rFonts w:ascii="Arial" w:hAnsi="Arial" w:cs="Arial"/>
          <w:i/>
          <w:sz w:val="20"/>
          <w:szCs w:val="20"/>
        </w:rPr>
        <w:t>2. Il bilancio consolidato è costituito dal conto economico consolidato, dallo stato patrimoniale consolidato e dai seguenti allegati:</w:t>
      </w:r>
    </w:p>
    <w:p w:rsidR="00DD1E3E" w:rsidRPr="002D092D" w:rsidRDefault="00DD1E3E" w:rsidP="00CB73FA">
      <w:pPr>
        <w:jc w:val="both"/>
        <w:rPr>
          <w:rFonts w:ascii="Arial" w:hAnsi="Arial" w:cs="Arial"/>
          <w:i/>
          <w:sz w:val="20"/>
          <w:szCs w:val="20"/>
        </w:rPr>
      </w:pPr>
      <w:r w:rsidRPr="002D092D">
        <w:rPr>
          <w:rFonts w:ascii="Arial" w:hAnsi="Arial" w:cs="Arial"/>
          <w:i/>
          <w:sz w:val="20"/>
          <w:szCs w:val="20"/>
        </w:rPr>
        <w:t>a) la relazione sulla gestione consolidata che comprende la nota integrativa;</w:t>
      </w:r>
    </w:p>
    <w:p w:rsidR="00DD1E3E" w:rsidRPr="002D092D" w:rsidRDefault="00DD1E3E" w:rsidP="00CB73FA">
      <w:pPr>
        <w:jc w:val="both"/>
        <w:rPr>
          <w:rFonts w:ascii="Arial" w:hAnsi="Arial" w:cs="Arial"/>
          <w:i/>
          <w:sz w:val="20"/>
          <w:szCs w:val="20"/>
        </w:rPr>
      </w:pPr>
      <w:r w:rsidRPr="002D092D">
        <w:rPr>
          <w:rFonts w:ascii="Arial" w:hAnsi="Arial" w:cs="Arial"/>
          <w:i/>
          <w:sz w:val="20"/>
          <w:szCs w:val="20"/>
        </w:rPr>
        <w:t>b) la relazione del collegio dei revisori dei conti.</w:t>
      </w:r>
    </w:p>
    <w:p w:rsidR="00DD1E3E" w:rsidRPr="002D092D" w:rsidRDefault="00DD1E3E" w:rsidP="00CB73FA">
      <w:pPr>
        <w:jc w:val="both"/>
        <w:rPr>
          <w:rFonts w:ascii="Arial" w:hAnsi="Arial" w:cs="Arial"/>
          <w:i/>
          <w:sz w:val="20"/>
          <w:szCs w:val="20"/>
        </w:rPr>
      </w:pPr>
      <w:r w:rsidRPr="002D092D">
        <w:rPr>
          <w:rFonts w:ascii="Arial" w:hAnsi="Arial" w:cs="Arial"/>
          <w:i/>
          <w:sz w:val="20"/>
          <w:szCs w:val="20"/>
        </w:rPr>
        <w:t xml:space="preserve"> 3. Ai fini dell'inclusione nel bilancio consolidato, si considera qualsiasi ente strumentale, azienda, società controllata e partecipata, indipendentemente dalla sua forma giuridica pubblica o privata, anche se le attività che svolge sono dissimili da quelle degli altri componenti del gruppo, con l'esclusione degli enti cui si applica il titolo II.</w:t>
      </w:r>
    </w:p>
    <w:p w:rsidR="001A2BBC" w:rsidRPr="002D092D" w:rsidRDefault="00DD1E3E" w:rsidP="00CB73FA">
      <w:pPr>
        <w:jc w:val="both"/>
        <w:rPr>
          <w:rFonts w:ascii="Arial" w:hAnsi="Arial" w:cs="Arial"/>
          <w:i/>
          <w:sz w:val="20"/>
          <w:szCs w:val="20"/>
        </w:rPr>
      </w:pPr>
      <w:r w:rsidRPr="002D092D">
        <w:rPr>
          <w:rFonts w:ascii="Arial" w:hAnsi="Arial" w:cs="Arial"/>
          <w:i/>
          <w:sz w:val="20"/>
          <w:szCs w:val="20"/>
        </w:rPr>
        <w:t>4. Gli enti di cui al comma 1 possono rinviare l'adozione del bilancio consolidato con riferimento all'esercizio 2016, salvo gli enti che, nel 2014, hanno partecipato alla sperimentazione.”</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articolo 11-ter</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lastRenderedPageBreak/>
        <w:t>“1. Si definisce ente strumentale controllato di una regione o di un ente locale di cui all'art. 2 del decreto legislativo 18 agosto 2000, n. 267, l'azienda o l'ente, pubblico o privato, nei cui confronti la regione o l'ente locale ha una delle seguenti condizioni:</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a) il possesso, diretto o indiretto, della maggioranza dei voti esercitabili nell'ente o nell'azienda;</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b) il potere assegnato da legge, statuto o convenzione di nominare o rimuovere la maggioranza dei componenti degli organi decisionali, competenti a definire le scelte strategiche e le politiche di settore, nonché a decidere in ordine all'indirizzo, alla pianificazione ed alla programmazione dell'attività di un ente o di un'azienda;</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c) la maggioranza, diretta o indiretta, dei diritti di voto nelle sedute degli organi decisionali, competenti a definire le scelte strategiche e le politiche di settore, nonché a decidere in ordine all'indirizzo, alla pianificazione ed alla programmazione dell'attività dell'ente o dell'azienda;</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d) l'obbligo di ripianare i disavanzi, nei casi consentiti dalla legge, per percentuali superiori alla propria quota di partecipazione;</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e) un'influenza dominante in virtù di contratti o clausole statutarie, nei casi in cui la legge consente tali contratti o clausole. I contratti di servizio pubblico e di concessione, stipulati con enti o aziende che svolgono prevalentemente l'attività oggetto di tali contratti, comportano l'esercizio di influenza dominante.</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2. Si definisce ente strumentale partecipato da una regione o da unente locale di cui all'art. 2 del decreto legislativo 18 agosto 2000,</w:t>
      </w:r>
      <w:r w:rsidR="004D40A7" w:rsidRPr="002D092D">
        <w:rPr>
          <w:rFonts w:ascii="Arial" w:hAnsi="Arial" w:cs="Arial"/>
          <w:i/>
          <w:sz w:val="20"/>
          <w:szCs w:val="20"/>
        </w:rPr>
        <w:t xml:space="preserve"> </w:t>
      </w:r>
      <w:r w:rsidRPr="002D092D">
        <w:rPr>
          <w:rFonts w:ascii="Arial" w:hAnsi="Arial" w:cs="Arial"/>
          <w:i/>
          <w:sz w:val="20"/>
          <w:szCs w:val="20"/>
        </w:rPr>
        <w:t>n. 267, l'azienda o l'ente, pubblico o privato, nel quale la</w:t>
      </w:r>
      <w:r w:rsidR="004D40A7" w:rsidRPr="002D092D">
        <w:rPr>
          <w:rFonts w:ascii="Arial" w:hAnsi="Arial" w:cs="Arial"/>
          <w:i/>
          <w:sz w:val="20"/>
          <w:szCs w:val="20"/>
        </w:rPr>
        <w:t xml:space="preserve"> </w:t>
      </w:r>
      <w:r w:rsidRPr="002D092D">
        <w:rPr>
          <w:rFonts w:ascii="Arial" w:hAnsi="Arial" w:cs="Arial"/>
          <w:i/>
          <w:sz w:val="20"/>
          <w:szCs w:val="20"/>
        </w:rPr>
        <w:t>regione</w:t>
      </w:r>
      <w:r w:rsidR="004D40A7" w:rsidRPr="002D092D">
        <w:rPr>
          <w:rFonts w:ascii="Arial" w:hAnsi="Arial" w:cs="Arial"/>
          <w:i/>
          <w:sz w:val="20"/>
          <w:szCs w:val="20"/>
        </w:rPr>
        <w:t xml:space="preserve"> </w:t>
      </w:r>
      <w:r w:rsidRPr="002D092D">
        <w:rPr>
          <w:rFonts w:ascii="Arial" w:hAnsi="Arial" w:cs="Arial"/>
          <w:i/>
          <w:sz w:val="20"/>
          <w:szCs w:val="20"/>
        </w:rPr>
        <w:t>o l'ente locale ha una partecipazione, in assenza delle condizioni di</w:t>
      </w:r>
      <w:r w:rsidR="004D40A7" w:rsidRPr="002D092D">
        <w:rPr>
          <w:rFonts w:ascii="Arial" w:hAnsi="Arial" w:cs="Arial"/>
          <w:i/>
          <w:sz w:val="20"/>
          <w:szCs w:val="20"/>
        </w:rPr>
        <w:t xml:space="preserve"> cui al comma 1.</w:t>
      </w:r>
    </w:p>
    <w:p w:rsidR="00A81F61" w:rsidRPr="002D092D" w:rsidRDefault="004D40A7" w:rsidP="00CB73FA">
      <w:pPr>
        <w:jc w:val="both"/>
        <w:rPr>
          <w:rFonts w:ascii="Arial" w:hAnsi="Arial" w:cs="Arial"/>
          <w:i/>
          <w:sz w:val="20"/>
          <w:szCs w:val="20"/>
        </w:rPr>
      </w:pPr>
      <w:r w:rsidRPr="002D092D">
        <w:rPr>
          <w:rFonts w:ascii="Arial" w:hAnsi="Arial" w:cs="Arial"/>
          <w:i/>
          <w:sz w:val="20"/>
          <w:szCs w:val="20"/>
        </w:rPr>
        <w:t xml:space="preserve"> </w:t>
      </w:r>
      <w:r w:rsidR="00A81F61" w:rsidRPr="002D092D">
        <w:rPr>
          <w:rFonts w:ascii="Arial" w:hAnsi="Arial" w:cs="Arial"/>
          <w:i/>
          <w:sz w:val="20"/>
          <w:szCs w:val="20"/>
        </w:rPr>
        <w:t>3. Gli enti strumentali di cui ai commi 1 e 2 sono</w:t>
      </w:r>
      <w:r w:rsidRPr="002D092D">
        <w:rPr>
          <w:rFonts w:ascii="Arial" w:hAnsi="Arial" w:cs="Arial"/>
          <w:i/>
          <w:sz w:val="20"/>
          <w:szCs w:val="20"/>
        </w:rPr>
        <w:t xml:space="preserve"> </w:t>
      </w:r>
      <w:r w:rsidR="00A81F61" w:rsidRPr="002D092D">
        <w:rPr>
          <w:rFonts w:ascii="Arial" w:hAnsi="Arial" w:cs="Arial"/>
          <w:i/>
          <w:sz w:val="20"/>
          <w:szCs w:val="20"/>
        </w:rPr>
        <w:t>distinti</w:t>
      </w:r>
      <w:r w:rsidRPr="002D092D">
        <w:rPr>
          <w:rFonts w:ascii="Arial" w:hAnsi="Arial" w:cs="Arial"/>
          <w:i/>
          <w:sz w:val="20"/>
          <w:szCs w:val="20"/>
        </w:rPr>
        <w:t xml:space="preserve"> </w:t>
      </w:r>
      <w:r w:rsidR="00A81F61" w:rsidRPr="002D092D">
        <w:rPr>
          <w:rFonts w:ascii="Arial" w:hAnsi="Arial" w:cs="Arial"/>
          <w:i/>
          <w:sz w:val="20"/>
          <w:szCs w:val="20"/>
        </w:rPr>
        <w:t>nelle</w:t>
      </w:r>
      <w:r w:rsidRPr="002D092D">
        <w:rPr>
          <w:rFonts w:ascii="Arial" w:hAnsi="Arial" w:cs="Arial"/>
          <w:i/>
          <w:sz w:val="20"/>
          <w:szCs w:val="20"/>
        </w:rPr>
        <w:t xml:space="preserve"> </w:t>
      </w:r>
      <w:r w:rsidR="00A81F61" w:rsidRPr="002D092D">
        <w:rPr>
          <w:rFonts w:ascii="Arial" w:hAnsi="Arial" w:cs="Arial"/>
          <w:i/>
          <w:sz w:val="20"/>
          <w:szCs w:val="20"/>
        </w:rPr>
        <w:t>seguenti tipologie, corrisponde</w:t>
      </w:r>
      <w:r w:rsidRPr="002D092D">
        <w:rPr>
          <w:rFonts w:ascii="Arial" w:hAnsi="Arial" w:cs="Arial"/>
          <w:i/>
          <w:sz w:val="20"/>
          <w:szCs w:val="20"/>
        </w:rPr>
        <w:t>nti alle missioni del bilancio:</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a) servizi istituzionali, generali e di gestione</w:t>
      </w:r>
      <w:r w:rsidR="004D40A7" w:rsidRPr="002D092D">
        <w:rPr>
          <w:rFonts w:ascii="Arial" w:hAnsi="Arial" w:cs="Arial"/>
          <w:i/>
          <w:sz w:val="20"/>
          <w:szCs w:val="20"/>
        </w:rPr>
        <w:t>;</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b) istruzione e diritto allo studio</w:t>
      </w:r>
      <w:r w:rsidR="004D40A7" w:rsidRPr="002D092D">
        <w:rPr>
          <w:rFonts w:ascii="Arial" w:hAnsi="Arial" w:cs="Arial"/>
          <w:i/>
          <w:sz w:val="20"/>
          <w:szCs w:val="20"/>
        </w:rPr>
        <w:t>;</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c) ordine pubblico e sicurezza</w:t>
      </w:r>
      <w:r w:rsidR="004D40A7" w:rsidRPr="002D092D">
        <w:rPr>
          <w:rFonts w:ascii="Arial" w:hAnsi="Arial" w:cs="Arial"/>
          <w:i/>
          <w:sz w:val="20"/>
          <w:szCs w:val="20"/>
        </w:rPr>
        <w:t>;</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d) tutela e valorizzazione dei beni ed attivit</w:t>
      </w:r>
      <w:r w:rsidR="004D40A7" w:rsidRPr="002D092D">
        <w:rPr>
          <w:rFonts w:ascii="Arial" w:hAnsi="Arial" w:cs="Arial"/>
          <w:i/>
          <w:sz w:val="20"/>
          <w:szCs w:val="20"/>
        </w:rPr>
        <w:t>à</w:t>
      </w:r>
      <w:r w:rsidRPr="002D092D">
        <w:rPr>
          <w:rFonts w:ascii="Arial" w:hAnsi="Arial" w:cs="Arial"/>
          <w:i/>
          <w:sz w:val="20"/>
          <w:szCs w:val="20"/>
        </w:rPr>
        <w:t xml:space="preserve"> culturali</w:t>
      </w:r>
      <w:r w:rsidR="004D40A7" w:rsidRPr="002D092D">
        <w:rPr>
          <w:rFonts w:ascii="Arial" w:hAnsi="Arial" w:cs="Arial"/>
          <w:i/>
          <w:sz w:val="20"/>
          <w:szCs w:val="20"/>
        </w:rPr>
        <w:t>;</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e) politiche giovanili, sport e tempo libero</w:t>
      </w:r>
      <w:r w:rsidR="004D40A7" w:rsidRPr="002D092D">
        <w:rPr>
          <w:rFonts w:ascii="Arial" w:hAnsi="Arial" w:cs="Arial"/>
          <w:i/>
          <w:sz w:val="20"/>
          <w:szCs w:val="20"/>
        </w:rPr>
        <w:t>;</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f) turismo</w:t>
      </w:r>
      <w:r w:rsidR="004D40A7" w:rsidRPr="002D092D">
        <w:rPr>
          <w:rFonts w:ascii="Arial" w:hAnsi="Arial" w:cs="Arial"/>
          <w:i/>
          <w:sz w:val="20"/>
          <w:szCs w:val="20"/>
        </w:rPr>
        <w:t>;</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g) assetto del territorio ed edilizia abitativa</w:t>
      </w:r>
      <w:r w:rsidR="004D40A7" w:rsidRPr="002D092D">
        <w:rPr>
          <w:rFonts w:ascii="Arial" w:hAnsi="Arial" w:cs="Arial"/>
          <w:i/>
          <w:sz w:val="20"/>
          <w:szCs w:val="20"/>
        </w:rPr>
        <w:t>;</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h) sviluppo sostenibile e tutela del territorio e dell'ambiente</w:t>
      </w:r>
      <w:r w:rsidR="004D40A7" w:rsidRPr="002D092D">
        <w:rPr>
          <w:rFonts w:ascii="Arial" w:hAnsi="Arial" w:cs="Arial"/>
          <w:i/>
          <w:sz w:val="20"/>
          <w:szCs w:val="20"/>
        </w:rPr>
        <w:t>;</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i) trasporti e diritto alla mobilit</w:t>
      </w:r>
      <w:r w:rsidR="004D40A7" w:rsidRPr="002D092D">
        <w:rPr>
          <w:rFonts w:ascii="Arial" w:hAnsi="Arial" w:cs="Arial"/>
          <w:i/>
          <w:sz w:val="20"/>
          <w:szCs w:val="20"/>
        </w:rPr>
        <w:t>à;</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j) soccorso civile</w:t>
      </w:r>
      <w:r w:rsidR="004D40A7" w:rsidRPr="002D092D">
        <w:rPr>
          <w:rFonts w:ascii="Arial" w:hAnsi="Arial" w:cs="Arial"/>
          <w:i/>
          <w:sz w:val="20"/>
          <w:szCs w:val="20"/>
        </w:rPr>
        <w:t>;</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k) diritti sociali, politiche sociali e famiglia</w:t>
      </w:r>
      <w:r w:rsidR="004D40A7" w:rsidRPr="002D092D">
        <w:rPr>
          <w:rFonts w:ascii="Arial" w:hAnsi="Arial" w:cs="Arial"/>
          <w:i/>
          <w:sz w:val="20"/>
          <w:szCs w:val="20"/>
        </w:rPr>
        <w:t>;</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l) tutela della salute</w:t>
      </w:r>
      <w:r w:rsidR="004D40A7" w:rsidRPr="002D092D">
        <w:rPr>
          <w:rFonts w:ascii="Arial" w:hAnsi="Arial" w:cs="Arial"/>
          <w:i/>
          <w:sz w:val="20"/>
          <w:szCs w:val="20"/>
        </w:rPr>
        <w:t>;</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m) sv</w:t>
      </w:r>
      <w:r w:rsidR="004D40A7" w:rsidRPr="002D092D">
        <w:rPr>
          <w:rFonts w:ascii="Arial" w:hAnsi="Arial" w:cs="Arial"/>
          <w:i/>
          <w:sz w:val="20"/>
          <w:szCs w:val="20"/>
        </w:rPr>
        <w:t>iluppo economico e competitività;</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n) politiche per il lavoro e la formazione professionale</w:t>
      </w:r>
      <w:r w:rsidR="004D40A7" w:rsidRPr="002D092D">
        <w:rPr>
          <w:rFonts w:ascii="Arial" w:hAnsi="Arial" w:cs="Arial"/>
          <w:i/>
          <w:sz w:val="20"/>
          <w:szCs w:val="20"/>
        </w:rPr>
        <w:t>;</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o) agricoltura, politiche agroalimentari e pesca</w:t>
      </w:r>
      <w:r w:rsidR="004D40A7" w:rsidRPr="002D092D">
        <w:rPr>
          <w:rFonts w:ascii="Arial" w:hAnsi="Arial" w:cs="Arial"/>
          <w:i/>
          <w:sz w:val="20"/>
          <w:szCs w:val="20"/>
        </w:rPr>
        <w:t>;</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p) energia e diversificazione delle fonti energetiche</w:t>
      </w:r>
      <w:r w:rsidR="004D40A7" w:rsidRPr="002D092D">
        <w:rPr>
          <w:rFonts w:ascii="Arial" w:hAnsi="Arial" w:cs="Arial"/>
          <w:i/>
          <w:sz w:val="20"/>
          <w:szCs w:val="20"/>
        </w:rPr>
        <w:t>;</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q) relazione con le altre autonomie territoriali e locali</w:t>
      </w:r>
      <w:r w:rsidR="004D40A7" w:rsidRPr="002D092D">
        <w:rPr>
          <w:rFonts w:ascii="Arial" w:hAnsi="Arial" w:cs="Arial"/>
          <w:i/>
          <w:sz w:val="20"/>
          <w:szCs w:val="20"/>
        </w:rPr>
        <w:t>;</w:t>
      </w:r>
    </w:p>
    <w:p w:rsidR="00A81F61" w:rsidRPr="002D092D" w:rsidRDefault="00A81F61" w:rsidP="00CB73FA">
      <w:pPr>
        <w:jc w:val="both"/>
        <w:rPr>
          <w:rFonts w:ascii="Arial" w:hAnsi="Arial" w:cs="Arial"/>
          <w:i/>
          <w:sz w:val="20"/>
          <w:szCs w:val="20"/>
        </w:rPr>
      </w:pPr>
      <w:r w:rsidRPr="002D092D">
        <w:rPr>
          <w:rFonts w:ascii="Arial" w:hAnsi="Arial" w:cs="Arial"/>
          <w:i/>
          <w:sz w:val="20"/>
          <w:szCs w:val="20"/>
        </w:rPr>
        <w:t>r) relazioni internazionali.</w:t>
      </w:r>
      <w:r w:rsidR="004D40A7" w:rsidRPr="002D092D">
        <w:rPr>
          <w:rFonts w:ascii="Arial" w:hAnsi="Arial" w:cs="Arial"/>
          <w:i/>
          <w:sz w:val="20"/>
          <w:szCs w:val="20"/>
        </w:rPr>
        <w:t>”</w:t>
      </w:r>
    </w:p>
    <w:p w:rsidR="004D40A7" w:rsidRPr="002D092D" w:rsidRDefault="004D40A7" w:rsidP="00CB73FA">
      <w:pPr>
        <w:jc w:val="both"/>
        <w:rPr>
          <w:rFonts w:ascii="Arial" w:hAnsi="Arial" w:cs="Arial"/>
          <w:i/>
          <w:sz w:val="20"/>
          <w:szCs w:val="20"/>
        </w:rPr>
      </w:pPr>
      <w:r w:rsidRPr="002D092D">
        <w:rPr>
          <w:rFonts w:ascii="Arial" w:hAnsi="Arial" w:cs="Arial"/>
          <w:i/>
          <w:sz w:val="20"/>
          <w:szCs w:val="20"/>
        </w:rPr>
        <w:t>articolo 11-quater</w:t>
      </w:r>
    </w:p>
    <w:p w:rsidR="004D40A7" w:rsidRPr="002D092D" w:rsidRDefault="004D40A7" w:rsidP="00CB73FA">
      <w:pPr>
        <w:jc w:val="both"/>
        <w:rPr>
          <w:rFonts w:ascii="Arial" w:hAnsi="Arial" w:cs="Arial"/>
          <w:i/>
          <w:sz w:val="20"/>
          <w:szCs w:val="20"/>
        </w:rPr>
      </w:pPr>
      <w:r w:rsidRPr="002D092D">
        <w:rPr>
          <w:rFonts w:ascii="Arial" w:hAnsi="Arial" w:cs="Arial"/>
          <w:i/>
          <w:sz w:val="20"/>
          <w:szCs w:val="20"/>
        </w:rPr>
        <w:lastRenderedPageBreak/>
        <w:t>“1. Si definisce controllata da una regione o da un ente locale la società nella quale la regione o l'ente locale ha una delle seguenti condizioni:</w:t>
      </w:r>
    </w:p>
    <w:p w:rsidR="004D40A7" w:rsidRPr="002D092D" w:rsidRDefault="004D40A7" w:rsidP="00CB73FA">
      <w:pPr>
        <w:jc w:val="both"/>
        <w:rPr>
          <w:rFonts w:ascii="Arial" w:hAnsi="Arial" w:cs="Arial"/>
          <w:i/>
          <w:sz w:val="20"/>
          <w:szCs w:val="20"/>
        </w:rPr>
      </w:pPr>
      <w:r w:rsidRPr="002D092D">
        <w:rPr>
          <w:rFonts w:ascii="Arial" w:hAnsi="Arial" w:cs="Arial"/>
          <w:i/>
          <w:sz w:val="20"/>
          <w:szCs w:val="20"/>
        </w:rPr>
        <w:t>a) il possesso, diretto o indiretto, anche sulla scorta di patti parasociali, della maggioranza dei voti esercitabili nell'assemblea ordinaria o dispone di voti sufficienti per esercitare una influenza dominante sull'assemblea ordinaria;</w:t>
      </w:r>
    </w:p>
    <w:p w:rsidR="004D40A7" w:rsidRPr="002D092D" w:rsidRDefault="004D40A7" w:rsidP="00CB73FA">
      <w:pPr>
        <w:jc w:val="both"/>
        <w:rPr>
          <w:rFonts w:ascii="Arial" w:hAnsi="Arial" w:cs="Arial"/>
          <w:i/>
          <w:sz w:val="20"/>
          <w:szCs w:val="20"/>
        </w:rPr>
      </w:pPr>
      <w:r w:rsidRPr="002D092D">
        <w:rPr>
          <w:rFonts w:ascii="Arial" w:hAnsi="Arial" w:cs="Arial"/>
          <w:i/>
          <w:sz w:val="20"/>
          <w:szCs w:val="20"/>
        </w:rPr>
        <w:t>b) il diritto, in virtù di un contratto o di una clausola statutaria, di esercitare un'influenza dominante, quando la legge consente tali contratti o clausole.</w:t>
      </w:r>
    </w:p>
    <w:p w:rsidR="004D40A7" w:rsidRPr="002D092D" w:rsidRDefault="004D40A7" w:rsidP="00CB73FA">
      <w:pPr>
        <w:jc w:val="both"/>
        <w:rPr>
          <w:rFonts w:ascii="Arial" w:hAnsi="Arial" w:cs="Arial"/>
          <w:i/>
          <w:sz w:val="20"/>
          <w:szCs w:val="20"/>
        </w:rPr>
      </w:pPr>
      <w:r w:rsidRPr="002D092D">
        <w:rPr>
          <w:rFonts w:ascii="Arial" w:hAnsi="Arial" w:cs="Arial"/>
          <w:i/>
          <w:sz w:val="20"/>
          <w:szCs w:val="20"/>
        </w:rPr>
        <w:t>2. I contratti di servizio pubblico e gli atti di concessione stipulati con società che svolgono prevalentemente l'attività oggetto di tali contratti comportano l'esercizio di influenza dominante.</w:t>
      </w:r>
    </w:p>
    <w:p w:rsidR="004D40A7" w:rsidRPr="002D092D" w:rsidRDefault="003B36E4" w:rsidP="00CB73FA">
      <w:pPr>
        <w:jc w:val="both"/>
        <w:rPr>
          <w:rFonts w:ascii="Arial" w:hAnsi="Arial" w:cs="Arial"/>
          <w:i/>
          <w:sz w:val="20"/>
          <w:szCs w:val="20"/>
        </w:rPr>
      </w:pPr>
      <w:r w:rsidRPr="002D092D">
        <w:rPr>
          <w:rFonts w:ascii="Arial" w:hAnsi="Arial" w:cs="Arial"/>
          <w:i/>
          <w:sz w:val="20"/>
          <w:szCs w:val="20"/>
        </w:rPr>
        <w:t>3. Le società</w:t>
      </w:r>
      <w:r w:rsidR="004D40A7" w:rsidRPr="002D092D">
        <w:rPr>
          <w:rFonts w:ascii="Arial" w:hAnsi="Arial" w:cs="Arial"/>
          <w:i/>
          <w:sz w:val="20"/>
          <w:szCs w:val="20"/>
        </w:rPr>
        <w:t xml:space="preserve"> controllate sono distinte nelle medesime tipologie</w:t>
      </w:r>
      <w:r w:rsidRPr="002D092D">
        <w:rPr>
          <w:rFonts w:ascii="Arial" w:hAnsi="Arial" w:cs="Arial"/>
          <w:i/>
          <w:sz w:val="20"/>
          <w:szCs w:val="20"/>
        </w:rPr>
        <w:t xml:space="preserve"> </w:t>
      </w:r>
      <w:r w:rsidR="004D40A7" w:rsidRPr="002D092D">
        <w:rPr>
          <w:rFonts w:ascii="Arial" w:hAnsi="Arial" w:cs="Arial"/>
          <w:i/>
          <w:sz w:val="20"/>
          <w:szCs w:val="20"/>
        </w:rPr>
        <w:t>pre</w:t>
      </w:r>
      <w:r w:rsidRPr="002D092D">
        <w:rPr>
          <w:rFonts w:ascii="Arial" w:hAnsi="Arial" w:cs="Arial"/>
          <w:i/>
          <w:sz w:val="20"/>
          <w:szCs w:val="20"/>
        </w:rPr>
        <w:t>viste per gli enti strumentali.</w:t>
      </w:r>
    </w:p>
    <w:p w:rsidR="00A81F61" w:rsidRPr="002D092D" w:rsidRDefault="004D40A7" w:rsidP="00CB73FA">
      <w:pPr>
        <w:jc w:val="both"/>
        <w:rPr>
          <w:rFonts w:ascii="Arial" w:hAnsi="Arial" w:cs="Arial"/>
          <w:i/>
          <w:sz w:val="20"/>
          <w:szCs w:val="20"/>
        </w:rPr>
      </w:pPr>
      <w:r w:rsidRPr="002D092D">
        <w:rPr>
          <w:rFonts w:ascii="Arial" w:hAnsi="Arial" w:cs="Arial"/>
          <w:i/>
          <w:sz w:val="20"/>
          <w:szCs w:val="20"/>
        </w:rPr>
        <w:t>4.</w:t>
      </w:r>
      <w:r w:rsidR="003B36E4" w:rsidRPr="002D092D">
        <w:rPr>
          <w:rFonts w:ascii="Arial" w:hAnsi="Arial" w:cs="Arial"/>
          <w:i/>
          <w:sz w:val="20"/>
          <w:szCs w:val="20"/>
        </w:rPr>
        <w:t xml:space="preserve"> </w:t>
      </w:r>
      <w:r w:rsidRPr="002D092D">
        <w:rPr>
          <w:rFonts w:ascii="Arial" w:hAnsi="Arial" w:cs="Arial"/>
          <w:i/>
          <w:sz w:val="20"/>
          <w:szCs w:val="20"/>
        </w:rPr>
        <w:t>In</w:t>
      </w:r>
      <w:r w:rsidR="003B36E4" w:rsidRPr="002D092D">
        <w:rPr>
          <w:rFonts w:ascii="Arial" w:hAnsi="Arial" w:cs="Arial"/>
          <w:i/>
          <w:sz w:val="20"/>
          <w:szCs w:val="20"/>
        </w:rPr>
        <w:t xml:space="preserve"> </w:t>
      </w:r>
      <w:r w:rsidRPr="002D092D">
        <w:rPr>
          <w:rFonts w:ascii="Arial" w:hAnsi="Arial" w:cs="Arial"/>
          <w:i/>
          <w:sz w:val="20"/>
          <w:szCs w:val="20"/>
        </w:rPr>
        <w:t>fase</w:t>
      </w:r>
      <w:r w:rsidR="003B36E4" w:rsidRPr="002D092D">
        <w:rPr>
          <w:rFonts w:ascii="Arial" w:hAnsi="Arial" w:cs="Arial"/>
          <w:i/>
          <w:sz w:val="20"/>
          <w:szCs w:val="20"/>
        </w:rPr>
        <w:t xml:space="preserve"> </w:t>
      </w:r>
      <w:r w:rsidRPr="002D092D">
        <w:rPr>
          <w:rFonts w:ascii="Arial" w:hAnsi="Arial" w:cs="Arial"/>
          <w:i/>
          <w:sz w:val="20"/>
          <w:szCs w:val="20"/>
        </w:rPr>
        <w:t>di</w:t>
      </w:r>
      <w:r w:rsidR="003B36E4" w:rsidRPr="002D092D">
        <w:rPr>
          <w:rFonts w:ascii="Arial" w:hAnsi="Arial" w:cs="Arial"/>
          <w:i/>
          <w:sz w:val="20"/>
          <w:szCs w:val="20"/>
        </w:rPr>
        <w:t xml:space="preserve"> </w:t>
      </w:r>
      <w:r w:rsidRPr="002D092D">
        <w:rPr>
          <w:rFonts w:ascii="Arial" w:hAnsi="Arial" w:cs="Arial"/>
          <w:i/>
          <w:sz w:val="20"/>
          <w:szCs w:val="20"/>
        </w:rPr>
        <w:t>prima</w:t>
      </w:r>
      <w:r w:rsidR="003B36E4" w:rsidRPr="002D092D">
        <w:rPr>
          <w:rFonts w:ascii="Arial" w:hAnsi="Arial" w:cs="Arial"/>
          <w:i/>
          <w:sz w:val="20"/>
          <w:szCs w:val="20"/>
        </w:rPr>
        <w:t xml:space="preserve"> </w:t>
      </w:r>
      <w:r w:rsidRPr="002D092D">
        <w:rPr>
          <w:rFonts w:ascii="Arial" w:hAnsi="Arial" w:cs="Arial"/>
          <w:i/>
          <w:sz w:val="20"/>
          <w:szCs w:val="20"/>
        </w:rPr>
        <w:t>applicazione</w:t>
      </w:r>
      <w:r w:rsidR="003B36E4" w:rsidRPr="002D092D">
        <w:rPr>
          <w:rFonts w:ascii="Arial" w:hAnsi="Arial" w:cs="Arial"/>
          <w:i/>
          <w:sz w:val="20"/>
          <w:szCs w:val="20"/>
        </w:rPr>
        <w:t xml:space="preserve"> </w:t>
      </w:r>
      <w:r w:rsidRPr="002D092D">
        <w:rPr>
          <w:rFonts w:ascii="Arial" w:hAnsi="Arial" w:cs="Arial"/>
          <w:i/>
          <w:sz w:val="20"/>
          <w:szCs w:val="20"/>
        </w:rPr>
        <w:t>del</w:t>
      </w:r>
      <w:r w:rsidR="003B36E4" w:rsidRPr="002D092D">
        <w:rPr>
          <w:rFonts w:ascii="Arial" w:hAnsi="Arial" w:cs="Arial"/>
          <w:i/>
          <w:sz w:val="20"/>
          <w:szCs w:val="20"/>
        </w:rPr>
        <w:t xml:space="preserve"> </w:t>
      </w:r>
      <w:r w:rsidRPr="002D092D">
        <w:rPr>
          <w:rFonts w:ascii="Arial" w:hAnsi="Arial" w:cs="Arial"/>
          <w:i/>
          <w:sz w:val="20"/>
          <w:szCs w:val="20"/>
        </w:rPr>
        <w:t>presente</w:t>
      </w:r>
      <w:r w:rsidR="003B36E4" w:rsidRPr="002D092D">
        <w:rPr>
          <w:rFonts w:ascii="Arial" w:hAnsi="Arial" w:cs="Arial"/>
          <w:i/>
          <w:sz w:val="20"/>
          <w:szCs w:val="20"/>
        </w:rPr>
        <w:t xml:space="preserve"> </w:t>
      </w:r>
      <w:r w:rsidRPr="002D092D">
        <w:rPr>
          <w:rFonts w:ascii="Arial" w:hAnsi="Arial" w:cs="Arial"/>
          <w:i/>
          <w:sz w:val="20"/>
          <w:szCs w:val="20"/>
        </w:rPr>
        <w:t>decreto,</w:t>
      </w:r>
      <w:r w:rsidR="003B36E4" w:rsidRPr="002D092D">
        <w:rPr>
          <w:rFonts w:ascii="Arial" w:hAnsi="Arial" w:cs="Arial"/>
          <w:i/>
          <w:sz w:val="20"/>
          <w:szCs w:val="20"/>
        </w:rPr>
        <w:t xml:space="preserve"> </w:t>
      </w:r>
      <w:r w:rsidRPr="002D092D">
        <w:rPr>
          <w:rFonts w:ascii="Arial" w:hAnsi="Arial" w:cs="Arial"/>
          <w:i/>
          <w:sz w:val="20"/>
          <w:szCs w:val="20"/>
        </w:rPr>
        <w:t>con</w:t>
      </w:r>
      <w:r w:rsidR="003B36E4" w:rsidRPr="002D092D">
        <w:rPr>
          <w:rFonts w:ascii="Arial" w:hAnsi="Arial" w:cs="Arial"/>
          <w:i/>
          <w:sz w:val="20"/>
          <w:szCs w:val="20"/>
        </w:rPr>
        <w:t xml:space="preserve"> </w:t>
      </w:r>
      <w:r w:rsidRPr="002D092D">
        <w:rPr>
          <w:rFonts w:ascii="Arial" w:hAnsi="Arial" w:cs="Arial"/>
          <w:i/>
          <w:sz w:val="20"/>
          <w:szCs w:val="20"/>
        </w:rPr>
        <w:t xml:space="preserve">riferimento agli esercizi 2015-2017, </w:t>
      </w:r>
      <w:r w:rsidR="003B36E4" w:rsidRPr="002D092D">
        <w:rPr>
          <w:rFonts w:ascii="Arial" w:hAnsi="Arial" w:cs="Arial"/>
          <w:i/>
          <w:sz w:val="20"/>
          <w:szCs w:val="20"/>
        </w:rPr>
        <w:t xml:space="preserve">non sono considerate le società </w:t>
      </w:r>
      <w:r w:rsidRPr="002D092D">
        <w:rPr>
          <w:rFonts w:ascii="Arial" w:hAnsi="Arial" w:cs="Arial"/>
          <w:i/>
          <w:sz w:val="20"/>
          <w:szCs w:val="20"/>
        </w:rPr>
        <w:t>quotate e quelle da esse controllate</w:t>
      </w:r>
      <w:r w:rsidR="003B36E4" w:rsidRPr="002D092D">
        <w:rPr>
          <w:rFonts w:ascii="Arial" w:hAnsi="Arial" w:cs="Arial"/>
          <w:i/>
          <w:sz w:val="20"/>
          <w:szCs w:val="20"/>
        </w:rPr>
        <w:t xml:space="preserve"> </w:t>
      </w:r>
      <w:r w:rsidRPr="002D092D">
        <w:rPr>
          <w:rFonts w:ascii="Arial" w:hAnsi="Arial" w:cs="Arial"/>
          <w:i/>
          <w:sz w:val="20"/>
          <w:szCs w:val="20"/>
        </w:rPr>
        <w:t>ai</w:t>
      </w:r>
      <w:r w:rsidR="003B36E4" w:rsidRPr="002D092D">
        <w:rPr>
          <w:rFonts w:ascii="Arial" w:hAnsi="Arial" w:cs="Arial"/>
          <w:i/>
          <w:sz w:val="20"/>
          <w:szCs w:val="20"/>
        </w:rPr>
        <w:t xml:space="preserve"> </w:t>
      </w:r>
      <w:r w:rsidRPr="002D092D">
        <w:rPr>
          <w:rFonts w:ascii="Arial" w:hAnsi="Arial" w:cs="Arial"/>
          <w:i/>
          <w:sz w:val="20"/>
          <w:szCs w:val="20"/>
        </w:rPr>
        <w:t>sensi</w:t>
      </w:r>
      <w:r w:rsidR="003B36E4" w:rsidRPr="002D092D">
        <w:rPr>
          <w:rFonts w:ascii="Arial" w:hAnsi="Arial" w:cs="Arial"/>
          <w:i/>
          <w:sz w:val="20"/>
          <w:szCs w:val="20"/>
        </w:rPr>
        <w:t xml:space="preserve"> </w:t>
      </w:r>
      <w:r w:rsidRPr="002D092D">
        <w:rPr>
          <w:rFonts w:ascii="Arial" w:hAnsi="Arial" w:cs="Arial"/>
          <w:i/>
          <w:sz w:val="20"/>
          <w:szCs w:val="20"/>
        </w:rPr>
        <w:t>dell'art.</w:t>
      </w:r>
      <w:r w:rsidR="003B36E4" w:rsidRPr="002D092D">
        <w:rPr>
          <w:rFonts w:ascii="Arial" w:hAnsi="Arial" w:cs="Arial"/>
          <w:i/>
          <w:sz w:val="20"/>
          <w:szCs w:val="20"/>
        </w:rPr>
        <w:t xml:space="preserve"> </w:t>
      </w:r>
      <w:r w:rsidRPr="002D092D">
        <w:rPr>
          <w:rFonts w:ascii="Arial" w:hAnsi="Arial" w:cs="Arial"/>
          <w:i/>
          <w:sz w:val="20"/>
          <w:szCs w:val="20"/>
        </w:rPr>
        <w:t>2359</w:t>
      </w:r>
      <w:r w:rsidR="003B36E4" w:rsidRPr="002D092D">
        <w:rPr>
          <w:rFonts w:ascii="Arial" w:hAnsi="Arial" w:cs="Arial"/>
          <w:i/>
          <w:sz w:val="20"/>
          <w:szCs w:val="20"/>
        </w:rPr>
        <w:t xml:space="preserve"> </w:t>
      </w:r>
      <w:r w:rsidRPr="002D092D">
        <w:rPr>
          <w:rFonts w:ascii="Arial" w:hAnsi="Arial" w:cs="Arial"/>
          <w:i/>
          <w:sz w:val="20"/>
          <w:szCs w:val="20"/>
        </w:rPr>
        <w:t>del</w:t>
      </w:r>
      <w:r w:rsidR="003B36E4" w:rsidRPr="002D092D">
        <w:rPr>
          <w:rFonts w:ascii="Arial" w:hAnsi="Arial" w:cs="Arial"/>
          <w:i/>
          <w:sz w:val="20"/>
          <w:szCs w:val="20"/>
        </w:rPr>
        <w:t xml:space="preserve"> </w:t>
      </w:r>
      <w:r w:rsidRPr="002D092D">
        <w:rPr>
          <w:rFonts w:ascii="Arial" w:hAnsi="Arial" w:cs="Arial"/>
          <w:i/>
          <w:sz w:val="20"/>
          <w:szCs w:val="20"/>
        </w:rPr>
        <w:t>codice civile. A tal fine, per societ</w:t>
      </w:r>
      <w:r w:rsidR="003B36E4" w:rsidRPr="002D092D">
        <w:rPr>
          <w:rFonts w:ascii="Arial" w:hAnsi="Arial" w:cs="Arial"/>
          <w:i/>
          <w:sz w:val="20"/>
          <w:szCs w:val="20"/>
        </w:rPr>
        <w:t>à</w:t>
      </w:r>
      <w:r w:rsidRPr="002D092D">
        <w:rPr>
          <w:rFonts w:ascii="Arial" w:hAnsi="Arial" w:cs="Arial"/>
          <w:i/>
          <w:sz w:val="20"/>
          <w:szCs w:val="20"/>
        </w:rPr>
        <w:t xml:space="preserve"> quotate degli enti di cui</w:t>
      </w:r>
      <w:r w:rsidR="003B36E4" w:rsidRPr="002D092D">
        <w:rPr>
          <w:rFonts w:ascii="Arial" w:hAnsi="Arial" w:cs="Arial"/>
          <w:i/>
          <w:sz w:val="20"/>
          <w:szCs w:val="20"/>
        </w:rPr>
        <w:t xml:space="preserve"> </w:t>
      </w:r>
      <w:r w:rsidRPr="002D092D">
        <w:rPr>
          <w:rFonts w:ascii="Arial" w:hAnsi="Arial" w:cs="Arial"/>
          <w:i/>
          <w:sz w:val="20"/>
          <w:szCs w:val="20"/>
        </w:rPr>
        <w:t>al</w:t>
      </w:r>
      <w:r w:rsidR="003B36E4" w:rsidRPr="002D092D">
        <w:rPr>
          <w:rFonts w:ascii="Arial" w:hAnsi="Arial" w:cs="Arial"/>
          <w:i/>
          <w:sz w:val="20"/>
          <w:szCs w:val="20"/>
        </w:rPr>
        <w:t xml:space="preserve"> </w:t>
      </w:r>
      <w:r w:rsidRPr="002D092D">
        <w:rPr>
          <w:rFonts w:ascii="Arial" w:hAnsi="Arial" w:cs="Arial"/>
          <w:i/>
          <w:sz w:val="20"/>
          <w:szCs w:val="20"/>
        </w:rPr>
        <w:t>presente</w:t>
      </w:r>
      <w:r w:rsidR="003B36E4" w:rsidRPr="002D092D">
        <w:rPr>
          <w:rFonts w:ascii="Arial" w:hAnsi="Arial" w:cs="Arial"/>
          <w:i/>
          <w:sz w:val="20"/>
          <w:szCs w:val="20"/>
        </w:rPr>
        <w:t xml:space="preserve"> </w:t>
      </w:r>
      <w:r w:rsidRPr="002D092D">
        <w:rPr>
          <w:rFonts w:ascii="Arial" w:hAnsi="Arial" w:cs="Arial"/>
          <w:i/>
          <w:sz w:val="20"/>
          <w:szCs w:val="20"/>
        </w:rPr>
        <w:t>articolo</w:t>
      </w:r>
      <w:r w:rsidR="003B36E4" w:rsidRPr="002D092D">
        <w:rPr>
          <w:rFonts w:ascii="Arial" w:hAnsi="Arial" w:cs="Arial"/>
          <w:i/>
          <w:sz w:val="20"/>
          <w:szCs w:val="20"/>
        </w:rPr>
        <w:t xml:space="preserve"> </w:t>
      </w:r>
      <w:r w:rsidRPr="002D092D">
        <w:rPr>
          <w:rFonts w:ascii="Arial" w:hAnsi="Arial" w:cs="Arial"/>
          <w:i/>
          <w:sz w:val="20"/>
          <w:szCs w:val="20"/>
        </w:rPr>
        <w:t>si</w:t>
      </w:r>
      <w:r w:rsidR="003B36E4" w:rsidRPr="002D092D">
        <w:rPr>
          <w:rFonts w:ascii="Arial" w:hAnsi="Arial" w:cs="Arial"/>
          <w:i/>
          <w:sz w:val="20"/>
          <w:szCs w:val="20"/>
        </w:rPr>
        <w:t xml:space="preserve"> </w:t>
      </w:r>
      <w:r w:rsidRPr="002D092D">
        <w:rPr>
          <w:rFonts w:ascii="Arial" w:hAnsi="Arial" w:cs="Arial"/>
          <w:i/>
          <w:sz w:val="20"/>
          <w:szCs w:val="20"/>
        </w:rPr>
        <w:t>intendono</w:t>
      </w:r>
      <w:r w:rsidR="003B36E4" w:rsidRPr="002D092D">
        <w:rPr>
          <w:rFonts w:ascii="Arial" w:hAnsi="Arial" w:cs="Arial"/>
          <w:i/>
          <w:sz w:val="20"/>
          <w:szCs w:val="20"/>
        </w:rPr>
        <w:t xml:space="preserve"> </w:t>
      </w:r>
      <w:r w:rsidRPr="002D092D">
        <w:rPr>
          <w:rFonts w:ascii="Arial" w:hAnsi="Arial" w:cs="Arial"/>
          <w:i/>
          <w:sz w:val="20"/>
          <w:szCs w:val="20"/>
        </w:rPr>
        <w:t>le</w:t>
      </w:r>
      <w:r w:rsidR="003B36E4" w:rsidRPr="002D092D">
        <w:rPr>
          <w:rFonts w:ascii="Arial" w:hAnsi="Arial" w:cs="Arial"/>
          <w:i/>
          <w:sz w:val="20"/>
          <w:szCs w:val="20"/>
        </w:rPr>
        <w:t xml:space="preserve"> società </w:t>
      </w:r>
      <w:r w:rsidRPr="002D092D">
        <w:rPr>
          <w:rFonts w:ascii="Arial" w:hAnsi="Arial" w:cs="Arial"/>
          <w:i/>
          <w:sz w:val="20"/>
          <w:szCs w:val="20"/>
        </w:rPr>
        <w:t>emittenti</w:t>
      </w:r>
      <w:r w:rsidR="003B36E4" w:rsidRPr="002D092D">
        <w:rPr>
          <w:rFonts w:ascii="Arial" w:hAnsi="Arial" w:cs="Arial"/>
          <w:i/>
          <w:sz w:val="20"/>
          <w:szCs w:val="20"/>
        </w:rPr>
        <w:t xml:space="preserve"> </w:t>
      </w:r>
      <w:r w:rsidRPr="002D092D">
        <w:rPr>
          <w:rFonts w:ascii="Arial" w:hAnsi="Arial" w:cs="Arial"/>
          <w:i/>
          <w:sz w:val="20"/>
          <w:szCs w:val="20"/>
        </w:rPr>
        <w:t>strumenti</w:t>
      </w:r>
      <w:r w:rsidR="003B36E4" w:rsidRPr="002D092D">
        <w:rPr>
          <w:rFonts w:ascii="Arial" w:hAnsi="Arial" w:cs="Arial"/>
          <w:i/>
          <w:sz w:val="20"/>
          <w:szCs w:val="20"/>
        </w:rPr>
        <w:t xml:space="preserve"> </w:t>
      </w:r>
      <w:r w:rsidRPr="002D092D">
        <w:rPr>
          <w:rFonts w:ascii="Arial" w:hAnsi="Arial" w:cs="Arial"/>
          <w:i/>
          <w:sz w:val="20"/>
          <w:szCs w:val="20"/>
        </w:rPr>
        <w:t>finanziari quotati in mercati regolamentari.</w:t>
      </w:r>
      <w:r w:rsidR="003B36E4" w:rsidRPr="002D092D">
        <w:rPr>
          <w:rFonts w:ascii="Arial" w:hAnsi="Arial" w:cs="Arial"/>
          <w:i/>
          <w:sz w:val="20"/>
          <w:szCs w:val="20"/>
        </w:rPr>
        <w:t>”</w:t>
      </w:r>
    </w:p>
    <w:p w:rsidR="003B36E4" w:rsidRPr="002D092D" w:rsidRDefault="003B36E4" w:rsidP="00CB73FA">
      <w:pPr>
        <w:jc w:val="both"/>
        <w:rPr>
          <w:rFonts w:ascii="Arial" w:hAnsi="Arial" w:cs="Arial"/>
          <w:i/>
          <w:sz w:val="20"/>
          <w:szCs w:val="20"/>
        </w:rPr>
      </w:pPr>
      <w:r w:rsidRPr="002D092D">
        <w:rPr>
          <w:rFonts w:ascii="Arial" w:hAnsi="Arial" w:cs="Arial"/>
          <w:i/>
          <w:sz w:val="20"/>
          <w:szCs w:val="20"/>
        </w:rPr>
        <w:t>articolo 11-quinquies</w:t>
      </w:r>
    </w:p>
    <w:p w:rsidR="003B36E4" w:rsidRPr="002D092D" w:rsidRDefault="003B36E4" w:rsidP="00CB73FA">
      <w:pPr>
        <w:jc w:val="both"/>
        <w:rPr>
          <w:rFonts w:ascii="Arial" w:hAnsi="Arial" w:cs="Arial"/>
          <w:i/>
          <w:sz w:val="20"/>
          <w:szCs w:val="20"/>
        </w:rPr>
      </w:pPr>
      <w:r w:rsidRPr="002D092D">
        <w:rPr>
          <w:rFonts w:ascii="Arial" w:hAnsi="Arial" w:cs="Arial"/>
          <w:i/>
          <w:sz w:val="20"/>
          <w:szCs w:val="20"/>
        </w:rPr>
        <w:t>“1. Per società partecipata da una regione o da un ente locale, si intende la società nella quale la regione o l'ente locale, direttamente o indirettamente, dispone di una quota di voti, esercitabili in assemblea, pari o superiore al 20 per cento, o al 10 per cento se trattasi di società quotata.</w:t>
      </w:r>
    </w:p>
    <w:p w:rsidR="003B36E4" w:rsidRPr="002D092D" w:rsidRDefault="003B36E4" w:rsidP="00CB73FA">
      <w:pPr>
        <w:jc w:val="both"/>
        <w:rPr>
          <w:rFonts w:ascii="Arial" w:hAnsi="Arial" w:cs="Arial"/>
          <w:i/>
          <w:sz w:val="20"/>
          <w:szCs w:val="20"/>
        </w:rPr>
      </w:pPr>
      <w:r w:rsidRPr="002D092D">
        <w:rPr>
          <w:rFonts w:ascii="Arial" w:hAnsi="Arial" w:cs="Arial"/>
          <w:i/>
          <w:sz w:val="20"/>
          <w:szCs w:val="20"/>
        </w:rPr>
        <w:t>2. Le società partecipate sono distinte nelle medesime tipologie previste per gli enti strumentali.</w:t>
      </w:r>
    </w:p>
    <w:p w:rsidR="004D40A7" w:rsidRPr="002D092D" w:rsidRDefault="003B36E4" w:rsidP="00CB73FA">
      <w:pPr>
        <w:jc w:val="both"/>
        <w:rPr>
          <w:rFonts w:ascii="Arial" w:hAnsi="Arial" w:cs="Arial"/>
          <w:i/>
          <w:sz w:val="20"/>
          <w:szCs w:val="20"/>
        </w:rPr>
      </w:pPr>
      <w:r w:rsidRPr="002D092D">
        <w:rPr>
          <w:rFonts w:ascii="Arial" w:hAnsi="Arial" w:cs="Arial"/>
          <w:i/>
          <w:sz w:val="20"/>
          <w:szCs w:val="20"/>
        </w:rPr>
        <w:t>3. In fase di prima applicazione del presente decreto, con riferimento agli esercizi 2015 - 2017, per società partecipata da una regione o da un ente locale, si intende la società a totale partecipazione pubblica affidataria di servizi pubblici locali della regione o dell'ente locale, indipendentemente dalla quota di partecipazione.”</w:t>
      </w:r>
    </w:p>
    <w:p w:rsidR="004F6A3E" w:rsidRPr="002D092D" w:rsidRDefault="004F6A3E" w:rsidP="00CB73FA">
      <w:pPr>
        <w:pStyle w:val="Paragrafoelenco"/>
        <w:numPr>
          <w:ilvl w:val="0"/>
          <w:numId w:val="1"/>
        </w:numPr>
        <w:ind w:left="0" w:firstLine="0"/>
        <w:jc w:val="both"/>
        <w:rPr>
          <w:rFonts w:ascii="Arial" w:hAnsi="Arial" w:cs="Arial"/>
          <w:sz w:val="20"/>
          <w:szCs w:val="20"/>
        </w:rPr>
      </w:pPr>
      <w:r w:rsidRPr="002D092D">
        <w:rPr>
          <w:rFonts w:ascii="Arial" w:hAnsi="Arial" w:cs="Arial"/>
          <w:sz w:val="20"/>
          <w:szCs w:val="20"/>
        </w:rPr>
        <w:t>l’art. 3 del D.Lgs. n. 118/2011, attinente ai principi contabili generali e applicati;</w:t>
      </w:r>
    </w:p>
    <w:p w:rsidR="004F6A3E" w:rsidRPr="002D092D" w:rsidRDefault="004F6A3E" w:rsidP="00CB73FA">
      <w:pPr>
        <w:pStyle w:val="Paragrafoelenco"/>
        <w:numPr>
          <w:ilvl w:val="0"/>
          <w:numId w:val="1"/>
        </w:numPr>
        <w:ind w:left="0" w:firstLine="0"/>
        <w:jc w:val="both"/>
        <w:rPr>
          <w:rFonts w:ascii="Arial" w:hAnsi="Arial" w:cs="Arial"/>
          <w:sz w:val="20"/>
          <w:szCs w:val="20"/>
        </w:rPr>
      </w:pPr>
      <w:r w:rsidRPr="002D092D">
        <w:rPr>
          <w:rFonts w:ascii="Arial" w:hAnsi="Arial" w:cs="Arial"/>
          <w:sz w:val="20"/>
          <w:szCs w:val="20"/>
        </w:rPr>
        <w:t>i principi generali o postulati (allegato n. 1 al D.Lgs. n. 118/2011);</w:t>
      </w:r>
    </w:p>
    <w:p w:rsidR="003B36E4" w:rsidRPr="002D092D" w:rsidRDefault="004F6A3E" w:rsidP="00CB73FA">
      <w:pPr>
        <w:pStyle w:val="Paragrafoelenco"/>
        <w:numPr>
          <w:ilvl w:val="0"/>
          <w:numId w:val="1"/>
        </w:numPr>
        <w:ind w:left="0" w:firstLine="0"/>
        <w:jc w:val="both"/>
        <w:rPr>
          <w:rFonts w:ascii="Arial" w:hAnsi="Arial" w:cs="Arial"/>
          <w:sz w:val="20"/>
          <w:szCs w:val="20"/>
        </w:rPr>
      </w:pPr>
      <w:r w:rsidRPr="002D092D">
        <w:rPr>
          <w:rFonts w:ascii="Arial" w:hAnsi="Arial" w:cs="Arial"/>
          <w:sz w:val="20"/>
          <w:szCs w:val="20"/>
        </w:rPr>
        <w:t>il principio contabile applicato concernente la contabilità economico-patrimoniale degli enti in contabilità finanziaria (allegato n. 4/3 al D.Lgs. n. 118/2011);</w:t>
      </w:r>
    </w:p>
    <w:p w:rsidR="004F6A3E" w:rsidRPr="002D092D" w:rsidRDefault="004F6A3E" w:rsidP="00CB73FA">
      <w:pPr>
        <w:pStyle w:val="Paragrafoelenco"/>
        <w:numPr>
          <w:ilvl w:val="0"/>
          <w:numId w:val="1"/>
        </w:numPr>
        <w:ind w:left="0" w:firstLine="0"/>
        <w:jc w:val="both"/>
        <w:rPr>
          <w:rFonts w:ascii="Arial" w:hAnsi="Arial" w:cs="Arial"/>
          <w:sz w:val="20"/>
          <w:szCs w:val="20"/>
        </w:rPr>
      </w:pPr>
      <w:r w:rsidRPr="002D092D">
        <w:rPr>
          <w:rFonts w:ascii="Arial" w:hAnsi="Arial" w:cs="Arial"/>
          <w:sz w:val="20"/>
          <w:szCs w:val="20"/>
        </w:rPr>
        <w:t>il principio contabile applicato concernente il bilancio consolidato (allegato n. 4/4 al D.Lgs. n. 118/2011);</w:t>
      </w:r>
    </w:p>
    <w:p w:rsidR="004F6A3E" w:rsidRPr="002D092D" w:rsidRDefault="004F6A3E" w:rsidP="00CB73FA">
      <w:pPr>
        <w:pStyle w:val="Paragrafoelenco"/>
        <w:numPr>
          <w:ilvl w:val="0"/>
          <w:numId w:val="1"/>
        </w:numPr>
        <w:ind w:left="0" w:firstLine="0"/>
        <w:jc w:val="both"/>
        <w:rPr>
          <w:rFonts w:ascii="Arial" w:hAnsi="Arial" w:cs="Arial"/>
          <w:sz w:val="20"/>
          <w:szCs w:val="20"/>
        </w:rPr>
      </w:pPr>
      <w:r w:rsidRPr="002D092D">
        <w:rPr>
          <w:rFonts w:ascii="Arial" w:hAnsi="Arial" w:cs="Arial"/>
          <w:sz w:val="20"/>
          <w:szCs w:val="20"/>
        </w:rPr>
        <w:t>lo schema di bilancio consolidato (allegato n. 11 al D.Lgs. n. 118/2011).</w:t>
      </w:r>
    </w:p>
    <w:p w:rsidR="003B36E4" w:rsidRPr="002D092D" w:rsidRDefault="003B36E4" w:rsidP="00CB73FA">
      <w:pPr>
        <w:jc w:val="both"/>
        <w:rPr>
          <w:rFonts w:ascii="Arial" w:hAnsi="Arial" w:cs="Arial"/>
          <w:sz w:val="20"/>
          <w:szCs w:val="20"/>
        </w:rPr>
      </w:pPr>
    </w:p>
    <w:p w:rsidR="004F6A3E" w:rsidRPr="002D092D" w:rsidRDefault="004F6A3E" w:rsidP="00CB73FA">
      <w:pPr>
        <w:jc w:val="both"/>
        <w:rPr>
          <w:rFonts w:ascii="Arial" w:hAnsi="Arial" w:cs="Arial"/>
          <w:b/>
          <w:sz w:val="20"/>
          <w:szCs w:val="20"/>
        </w:rPr>
      </w:pPr>
      <w:r w:rsidRPr="002D092D">
        <w:rPr>
          <w:rFonts w:ascii="Arial" w:hAnsi="Arial" w:cs="Arial"/>
          <w:b/>
          <w:sz w:val="20"/>
          <w:szCs w:val="20"/>
        </w:rPr>
        <w:t xml:space="preserve">GRUPPO “AMMINISTRAZIONE PUBBLICA” DEL COMUNE DI </w:t>
      </w:r>
      <w:r w:rsidR="004D4F8B">
        <w:rPr>
          <w:rFonts w:ascii="Arial" w:hAnsi="Arial" w:cs="Arial"/>
          <w:b/>
          <w:sz w:val="20"/>
          <w:szCs w:val="20"/>
        </w:rPr>
        <w:t>SALGAREDA</w:t>
      </w:r>
      <w:r w:rsidRPr="002D092D">
        <w:rPr>
          <w:rFonts w:ascii="Arial" w:hAnsi="Arial" w:cs="Arial"/>
          <w:b/>
          <w:sz w:val="20"/>
          <w:szCs w:val="20"/>
        </w:rPr>
        <w:t xml:space="preserve"> E</w:t>
      </w:r>
      <w:r w:rsidR="00D56F54" w:rsidRPr="002D092D">
        <w:rPr>
          <w:rFonts w:ascii="Arial" w:hAnsi="Arial" w:cs="Arial"/>
          <w:b/>
          <w:sz w:val="20"/>
          <w:szCs w:val="20"/>
        </w:rPr>
        <w:t xml:space="preserve"> </w:t>
      </w:r>
      <w:r w:rsidRPr="002D092D">
        <w:rPr>
          <w:rFonts w:ascii="Arial" w:hAnsi="Arial" w:cs="Arial"/>
          <w:b/>
          <w:sz w:val="20"/>
          <w:szCs w:val="20"/>
        </w:rPr>
        <w:t>MODALIT</w:t>
      </w:r>
      <w:r w:rsidR="004D4F8B">
        <w:rPr>
          <w:rFonts w:ascii="Arial" w:hAnsi="Arial" w:cs="Arial"/>
          <w:b/>
          <w:sz w:val="20"/>
          <w:szCs w:val="20"/>
        </w:rPr>
        <w:t>À</w:t>
      </w:r>
      <w:r w:rsidRPr="002D092D">
        <w:rPr>
          <w:rFonts w:ascii="Arial" w:hAnsi="Arial" w:cs="Arial"/>
          <w:b/>
          <w:sz w:val="20"/>
          <w:szCs w:val="20"/>
        </w:rPr>
        <w:t xml:space="preserve"> DI CONSOLIDAMENTO</w:t>
      </w:r>
    </w:p>
    <w:p w:rsidR="00D56F54" w:rsidRPr="002D092D" w:rsidRDefault="00D56F54" w:rsidP="00CB73FA">
      <w:pPr>
        <w:jc w:val="both"/>
        <w:rPr>
          <w:rFonts w:ascii="Arial" w:hAnsi="Arial" w:cs="Arial"/>
          <w:b/>
          <w:sz w:val="20"/>
          <w:szCs w:val="20"/>
        </w:rPr>
      </w:pPr>
      <w:r w:rsidRPr="002D092D">
        <w:rPr>
          <w:rFonts w:ascii="Arial" w:hAnsi="Arial" w:cs="Arial"/>
          <w:b/>
          <w:sz w:val="20"/>
          <w:szCs w:val="20"/>
        </w:rPr>
        <w:t xml:space="preserve">LE PARTECIPAZIONI DEL COMUNE DI </w:t>
      </w:r>
      <w:r w:rsidR="004D4F8B">
        <w:rPr>
          <w:rFonts w:ascii="Arial" w:hAnsi="Arial" w:cs="Arial"/>
          <w:b/>
          <w:sz w:val="20"/>
          <w:szCs w:val="20"/>
        </w:rPr>
        <w:t>SALGAREDA</w:t>
      </w:r>
    </w:p>
    <w:p w:rsidR="00DD1B3F" w:rsidRPr="002D092D" w:rsidRDefault="00DD1B3F" w:rsidP="00CB73FA">
      <w:pPr>
        <w:jc w:val="both"/>
        <w:rPr>
          <w:rFonts w:ascii="Arial" w:hAnsi="Arial" w:cs="Arial"/>
          <w:sz w:val="20"/>
          <w:szCs w:val="20"/>
        </w:rPr>
      </w:pPr>
      <w:r w:rsidRPr="002D092D">
        <w:rPr>
          <w:rFonts w:ascii="Arial" w:hAnsi="Arial" w:cs="Arial"/>
          <w:sz w:val="20"/>
          <w:szCs w:val="20"/>
        </w:rPr>
        <w:t xml:space="preserve">Considerando anche il piano di razionalizzazione degli enti e delle società partecipate, ai sensi dell’art. </w:t>
      </w:r>
      <w:r w:rsidRPr="00A2333B">
        <w:rPr>
          <w:rFonts w:ascii="Arial" w:hAnsi="Arial" w:cs="Arial"/>
          <w:sz w:val="20"/>
          <w:szCs w:val="20"/>
        </w:rPr>
        <w:t xml:space="preserve">1, commi 611 e seguenti, della legge n. 190/2014, approvato con </w:t>
      </w:r>
      <w:r w:rsidR="0020383F" w:rsidRPr="00A2333B">
        <w:rPr>
          <w:rFonts w:ascii="Arial" w:hAnsi="Arial" w:cs="Arial"/>
          <w:sz w:val="20"/>
          <w:szCs w:val="20"/>
        </w:rPr>
        <w:t>provvedimento de sindaco</w:t>
      </w:r>
      <w:r w:rsidRPr="00A2333B">
        <w:rPr>
          <w:rFonts w:ascii="Arial" w:hAnsi="Arial" w:cs="Arial"/>
          <w:sz w:val="20"/>
          <w:szCs w:val="20"/>
        </w:rPr>
        <w:t xml:space="preserve"> n. </w:t>
      </w:r>
      <w:r w:rsidR="00A2333B" w:rsidRPr="00A2333B">
        <w:rPr>
          <w:rFonts w:ascii="Arial" w:hAnsi="Arial" w:cs="Arial"/>
          <w:sz w:val="20"/>
          <w:szCs w:val="20"/>
        </w:rPr>
        <w:t>2993</w:t>
      </w:r>
      <w:r w:rsidR="0020383F" w:rsidRPr="00A2333B">
        <w:rPr>
          <w:rFonts w:ascii="Arial" w:hAnsi="Arial" w:cs="Arial"/>
          <w:sz w:val="20"/>
          <w:szCs w:val="20"/>
        </w:rPr>
        <w:t xml:space="preserve"> del</w:t>
      </w:r>
      <w:r w:rsidR="0020383F">
        <w:rPr>
          <w:rFonts w:ascii="Arial" w:hAnsi="Arial" w:cs="Arial"/>
          <w:sz w:val="20"/>
          <w:szCs w:val="20"/>
        </w:rPr>
        <w:t xml:space="preserve"> </w:t>
      </w:r>
      <w:r w:rsidR="00A2333B">
        <w:rPr>
          <w:rFonts w:ascii="Arial" w:hAnsi="Arial" w:cs="Arial"/>
          <w:sz w:val="20"/>
          <w:szCs w:val="20"/>
        </w:rPr>
        <w:t>31</w:t>
      </w:r>
      <w:r w:rsidR="0020383F">
        <w:rPr>
          <w:rFonts w:ascii="Arial" w:hAnsi="Arial" w:cs="Arial"/>
          <w:sz w:val="20"/>
          <w:szCs w:val="20"/>
        </w:rPr>
        <w:t>.03.2015,</w:t>
      </w:r>
      <w:r w:rsidRPr="002D092D">
        <w:rPr>
          <w:rFonts w:ascii="Arial" w:hAnsi="Arial" w:cs="Arial"/>
          <w:color w:val="FF0000"/>
          <w:sz w:val="20"/>
          <w:szCs w:val="20"/>
        </w:rPr>
        <w:t xml:space="preserve"> </w:t>
      </w:r>
      <w:r w:rsidRPr="002D092D">
        <w:rPr>
          <w:rFonts w:ascii="Arial" w:hAnsi="Arial" w:cs="Arial"/>
          <w:sz w:val="20"/>
          <w:szCs w:val="20"/>
        </w:rPr>
        <w:t xml:space="preserve">le partecipazioni </w:t>
      </w:r>
      <w:r w:rsidR="00BC25C5" w:rsidRPr="002D092D">
        <w:rPr>
          <w:rFonts w:ascii="Arial" w:hAnsi="Arial" w:cs="Arial"/>
          <w:sz w:val="20"/>
          <w:szCs w:val="20"/>
        </w:rPr>
        <w:t xml:space="preserve">dirette </w:t>
      </w:r>
      <w:r w:rsidRPr="002D092D">
        <w:rPr>
          <w:rFonts w:ascii="Arial" w:hAnsi="Arial" w:cs="Arial"/>
          <w:sz w:val="20"/>
          <w:szCs w:val="20"/>
        </w:rPr>
        <w:t xml:space="preserve">del Comune di </w:t>
      </w:r>
      <w:r w:rsidR="00A2333B">
        <w:rPr>
          <w:rFonts w:ascii="Arial" w:hAnsi="Arial" w:cs="Arial"/>
          <w:sz w:val="20"/>
          <w:szCs w:val="20"/>
        </w:rPr>
        <w:t>Salgareda a</w:t>
      </w:r>
      <w:r w:rsidRPr="002D092D">
        <w:rPr>
          <w:rFonts w:ascii="Arial" w:hAnsi="Arial" w:cs="Arial"/>
          <w:sz w:val="20"/>
          <w:szCs w:val="20"/>
        </w:rPr>
        <w:t>lla data del 31 dicembre 201</w:t>
      </w:r>
      <w:r w:rsidR="00440990" w:rsidRPr="002D092D">
        <w:rPr>
          <w:rFonts w:ascii="Arial" w:hAnsi="Arial" w:cs="Arial"/>
          <w:sz w:val="20"/>
          <w:szCs w:val="20"/>
        </w:rPr>
        <w:t>5</w:t>
      </w:r>
      <w:r w:rsidRPr="002D092D">
        <w:rPr>
          <w:rFonts w:ascii="Arial" w:hAnsi="Arial" w:cs="Arial"/>
          <w:sz w:val="20"/>
          <w:szCs w:val="20"/>
        </w:rPr>
        <w:t xml:space="preserve"> erano:</w:t>
      </w:r>
    </w:p>
    <w:p w:rsidR="00DD1B3F" w:rsidRPr="002D092D" w:rsidRDefault="0020383F" w:rsidP="00CB73FA">
      <w:pPr>
        <w:pStyle w:val="Paragrafoelenco"/>
        <w:numPr>
          <w:ilvl w:val="0"/>
          <w:numId w:val="5"/>
        </w:numPr>
        <w:ind w:left="0" w:firstLine="0"/>
        <w:jc w:val="both"/>
        <w:rPr>
          <w:rFonts w:ascii="Arial" w:hAnsi="Arial" w:cs="Arial"/>
          <w:sz w:val="20"/>
          <w:szCs w:val="20"/>
        </w:rPr>
      </w:pPr>
      <w:r>
        <w:rPr>
          <w:rFonts w:ascii="Arial" w:eastAsia="Times New Roman" w:hAnsi="Arial" w:cs="Arial"/>
          <w:sz w:val="20"/>
          <w:szCs w:val="20"/>
          <w:lang w:eastAsia="it-IT"/>
        </w:rPr>
        <w:t>Piave servizi srl</w:t>
      </w:r>
      <w:r w:rsidR="001B7F79" w:rsidRPr="002D092D">
        <w:rPr>
          <w:rFonts w:ascii="Arial" w:hAnsi="Arial" w:cs="Arial"/>
          <w:sz w:val="20"/>
          <w:szCs w:val="20"/>
        </w:rPr>
        <w:t>,</w:t>
      </w:r>
      <w:r w:rsidR="00DD1B3F" w:rsidRPr="002D092D">
        <w:rPr>
          <w:rFonts w:ascii="Arial" w:hAnsi="Arial" w:cs="Arial"/>
          <w:sz w:val="20"/>
          <w:szCs w:val="20"/>
        </w:rPr>
        <w:t xml:space="preserve"> con una quota del </w:t>
      </w:r>
      <w:r w:rsidR="00A2333B">
        <w:rPr>
          <w:rFonts w:ascii="Arial" w:hAnsi="Arial" w:cs="Arial"/>
          <w:sz w:val="20"/>
          <w:szCs w:val="20"/>
        </w:rPr>
        <w:t>1,6734</w:t>
      </w:r>
      <w:r w:rsidR="00DD1B3F" w:rsidRPr="002D092D">
        <w:rPr>
          <w:rFonts w:ascii="Arial" w:hAnsi="Arial" w:cs="Arial"/>
          <w:sz w:val="20"/>
          <w:szCs w:val="20"/>
        </w:rPr>
        <w:t>%;</w:t>
      </w:r>
    </w:p>
    <w:p w:rsidR="008C1341" w:rsidRPr="0020383F" w:rsidRDefault="0020383F" w:rsidP="00CB73FA">
      <w:pPr>
        <w:pStyle w:val="Paragrafoelenco"/>
        <w:numPr>
          <w:ilvl w:val="0"/>
          <w:numId w:val="5"/>
        </w:numPr>
        <w:ind w:left="0" w:firstLine="0"/>
        <w:jc w:val="both"/>
        <w:rPr>
          <w:rFonts w:ascii="Arial" w:hAnsi="Arial" w:cs="Arial"/>
          <w:sz w:val="20"/>
          <w:szCs w:val="20"/>
        </w:rPr>
      </w:pPr>
      <w:r>
        <w:rPr>
          <w:rFonts w:ascii="Arial" w:hAnsi="Arial" w:cs="Arial"/>
          <w:sz w:val="20"/>
          <w:szCs w:val="20"/>
        </w:rPr>
        <w:t>Asco Holding</w:t>
      </w:r>
      <w:r w:rsidR="003822C0" w:rsidRPr="002D092D">
        <w:rPr>
          <w:rFonts w:ascii="Arial" w:hAnsi="Arial" w:cs="Arial"/>
          <w:sz w:val="20"/>
          <w:szCs w:val="20"/>
        </w:rPr>
        <w:t xml:space="preserve"> spa</w:t>
      </w:r>
      <w:r w:rsidR="001B7F79" w:rsidRPr="002D092D">
        <w:rPr>
          <w:rFonts w:ascii="Arial" w:hAnsi="Arial" w:cs="Arial"/>
          <w:sz w:val="20"/>
          <w:szCs w:val="20"/>
        </w:rPr>
        <w:t>,</w:t>
      </w:r>
      <w:r w:rsidR="00DD1B3F" w:rsidRPr="002D092D">
        <w:rPr>
          <w:rFonts w:ascii="Arial" w:hAnsi="Arial" w:cs="Arial"/>
          <w:sz w:val="20"/>
          <w:szCs w:val="20"/>
        </w:rPr>
        <w:t xml:space="preserve"> con una quota del </w:t>
      </w:r>
      <w:r w:rsidR="00A2333B">
        <w:rPr>
          <w:rFonts w:ascii="Arial" w:hAnsi="Arial" w:cs="Arial"/>
          <w:sz w:val="20"/>
          <w:szCs w:val="20"/>
        </w:rPr>
        <w:t>2,2</w:t>
      </w:r>
      <w:r w:rsidR="00DD1B3F" w:rsidRPr="002D092D">
        <w:rPr>
          <w:rFonts w:ascii="Arial" w:hAnsi="Arial" w:cs="Arial"/>
          <w:sz w:val="20"/>
          <w:szCs w:val="20"/>
        </w:rPr>
        <w:t>%;</w:t>
      </w:r>
    </w:p>
    <w:p w:rsidR="008C1341" w:rsidRPr="002D092D" w:rsidRDefault="008C1341" w:rsidP="00CB73FA">
      <w:pPr>
        <w:jc w:val="both"/>
        <w:rPr>
          <w:rFonts w:ascii="Arial" w:hAnsi="Arial" w:cs="Arial"/>
          <w:sz w:val="20"/>
          <w:szCs w:val="20"/>
        </w:rPr>
      </w:pPr>
    </w:p>
    <w:p w:rsidR="00CA0CE8" w:rsidRPr="002D092D" w:rsidRDefault="00CA0CE8" w:rsidP="00CB73FA">
      <w:pPr>
        <w:jc w:val="both"/>
        <w:rPr>
          <w:rFonts w:ascii="Arial" w:hAnsi="Arial" w:cs="Arial"/>
          <w:sz w:val="20"/>
          <w:szCs w:val="20"/>
        </w:rPr>
      </w:pPr>
      <w:r w:rsidRPr="002D092D">
        <w:rPr>
          <w:rFonts w:ascii="Arial" w:hAnsi="Arial" w:cs="Arial"/>
          <w:sz w:val="20"/>
          <w:szCs w:val="20"/>
        </w:rPr>
        <w:t>Al 31/12/201</w:t>
      </w:r>
      <w:r w:rsidR="0020383F">
        <w:rPr>
          <w:rFonts w:ascii="Arial" w:hAnsi="Arial" w:cs="Arial"/>
          <w:sz w:val="20"/>
          <w:szCs w:val="20"/>
        </w:rPr>
        <w:t>5</w:t>
      </w:r>
      <w:r w:rsidRPr="002D092D">
        <w:rPr>
          <w:rFonts w:ascii="Arial" w:hAnsi="Arial" w:cs="Arial"/>
          <w:sz w:val="20"/>
          <w:szCs w:val="20"/>
        </w:rPr>
        <w:t xml:space="preserve"> il Comune di </w:t>
      </w:r>
      <w:r w:rsidR="00A2333B">
        <w:rPr>
          <w:rFonts w:ascii="Arial" w:hAnsi="Arial" w:cs="Arial"/>
          <w:sz w:val="20"/>
          <w:szCs w:val="20"/>
        </w:rPr>
        <w:t>Salgareda</w:t>
      </w:r>
      <w:r w:rsidR="0020383F">
        <w:rPr>
          <w:rFonts w:ascii="Arial" w:hAnsi="Arial" w:cs="Arial"/>
          <w:sz w:val="20"/>
          <w:szCs w:val="20"/>
        </w:rPr>
        <w:t xml:space="preserve"> </w:t>
      </w:r>
      <w:r w:rsidRPr="002D092D">
        <w:rPr>
          <w:rFonts w:ascii="Arial" w:hAnsi="Arial" w:cs="Arial"/>
          <w:sz w:val="20"/>
          <w:szCs w:val="20"/>
        </w:rPr>
        <w:t>non deteneva partecipazioni indirette in alcun ente.</w:t>
      </w:r>
    </w:p>
    <w:p w:rsidR="00CA0CE8" w:rsidRPr="002D092D" w:rsidRDefault="00CA0CE8" w:rsidP="00CB73FA">
      <w:pPr>
        <w:jc w:val="both"/>
        <w:rPr>
          <w:rFonts w:ascii="Arial" w:hAnsi="Arial" w:cs="Arial"/>
          <w:sz w:val="20"/>
          <w:szCs w:val="20"/>
        </w:rPr>
      </w:pPr>
      <w:r w:rsidRPr="002D092D">
        <w:rPr>
          <w:rFonts w:ascii="Arial" w:hAnsi="Arial" w:cs="Arial"/>
          <w:sz w:val="20"/>
          <w:szCs w:val="20"/>
        </w:rPr>
        <w:t xml:space="preserve">Le partecipazioni del Comune di </w:t>
      </w:r>
      <w:r w:rsidR="00A2333B">
        <w:rPr>
          <w:rFonts w:ascii="Arial" w:hAnsi="Arial" w:cs="Arial"/>
          <w:sz w:val="20"/>
          <w:szCs w:val="20"/>
        </w:rPr>
        <w:t xml:space="preserve">Salgareda </w:t>
      </w:r>
      <w:r w:rsidRPr="002D092D">
        <w:rPr>
          <w:rFonts w:ascii="Arial" w:hAnsi="Arial" w:cs="Arial"/>
          <w:sz w:val="20"/>
          <w:szCs w:val="20"/>
        </w:rPr>
        <w:t>possono anche essere rappresentate nell’organigramma sotto riportato.</w:t>
      </w:r>
    </w:p>
    <w:p w:rsidR="00BC25C5" w:rsidRPr="002D092D" w:rsidRDefault="005A00DB" w:rsidP="00CB73FA">
      <w:pPr>
        <w:jc w:val="both"/>
        <w:rPr>
          <w:rFonts w:ascii="Arial" w:hAnsi="Arial" w:cs="Arial"/>
          <w:sz w:val="20"/>
          <w:szCs w:val="20"/>
        </w:rPr>
      </w:pPr>
      <w:r w:rsidRPr="002D092D">
        <w:rPr>
          <w:rFonts w:ascii="Arial" w:hAnsi="Arial" w:cs="Arial"/>
          <w:noProof/>
          <w:sz w:val="20"/>
          <w:szCs w:val="20"/>
          <w:lang w:eastAsia="it-IT"/>
        </w:rPr>
        <w:lastRenderedPageBreak/>
        <w:drawing>
          <wp:inline distT="0" distB="0" distL="0" distR="0" wp14:anchorId="07C82BC3" wp14:editId="254385D9">
            <wp:extent cx="6125633" cy="1773555"/>
            <wp:effectExtent l="0" t="0" r="0" b="17145"/>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C1341" w:rsidRPr="002D092D" w:rsidRDefault="008C1341" w:rsidP="00CB73FA">
      <w:pPr>
        <w:jc w:val="both"/>
        <w:rPr>
          <w:rFonts w:ascii="Arial" w:hAnsi="Arial" w:cs="Arial"/>
          <w:sz w:val="20"/>
          <w:szCs w:val="20"/>
        </w:rPr>
      </w:pPr>
    </w:p>
    <w:p w:rsidR="00B25BB6" w:rsidRPr="002D092D" w:rsidRDefault="00B25BB6" w:rsidP="00CB73FA">
      <w:pPr>
        <w:jc w:val="both"/>
        <w:rPr>
          <w:rFonts w:ascii="Arial" w:hAnsi="Arial" w:cs="Arial"/>
          <w:sz w:val="20"/>
          <w:szCs w:val="20"/>
        </w:rPr>
      </w:pPr>
      <w:r w:rsidRPr="002D092D">
        <w:rPr>
          <w:rFonts w:ascii="Arial" w:hAnsi="Arial" w:cs="Arial"/>
          <w:sz w:val="20"/>
          <w:szCs w:val="20"/>
        </w:rPr>
        <w:t xml:space="preserve">In considerazione degli artt. da 11-bis a 11-quinquies del D.Lgs. 23 giugno 2011, n. 118 e del punto 2 del principio contabile applicato concernente il bilancio consolidato (allegato n. 4/4 al D.Lgs. n. 118/2011), l’unico tra gli enti sopra elencati che deve essere inserito nel gruppo “amministrazione pubblica” del Comune di </w:t>
      </w:r>
      <w:r w:rsidR="00A2333B">
        <w:rPr>
          <w:rFonts w:ascii="Arial" w:hAnsi="Arial" w:cs="Arial"/>
          <w:sz w:val="20"/>
          <w:szCs w:val="20"/>
        </w:rPr>
        <w:t>Salgareda</w:t>
      </w:r>
      <w:r w:rsidRPr="002D092D">
        <w:rPr>
          <w:rFonts w:ascii="Arial" w:hAnsi="Arial" w:cs="Arial"/>
          <w:sz w:val="20"/>
          <w:szCs w:val="20"/>
        </w:rPr>
        <w:t xml:space="preserve"> è la </w:t>
      </w:r>
      <w:r w:rsidR="00BD51A4">
        <w:rPr>
          <w:rFonts w:ascii="Arial" w:hAnsi="Arial" w:cs="Arial"/>
          <w:sz w:val="20"/>
          <w:szCs w:val="20"/>
        </w:rPr>
        <w:t>Piave</w:t>
      </w:r>
      <w:r w:rsidRPr="002D092D">
        <w:rPr>
          <w:rFonts w:ascii="Arial" w:hAnsi="Arial" w:cs="Arial"/>
          <w:sz w:val="20"/>
          <w:szCs w:val="20"/>
        </w:rPr>
        <w:t xml:space="preserve"> </w:t>
      </w:r>
      <w:r w:rsidR="00A2333B">
        <w:rPr>
          <w:rFonts w:ascii="Arial" w:hAnsi="Arial" w:cs="Arial"/>
          <w:sz w:val="20"/>
          <w:szCs w:val="20"/>
        </w:rPr>
        <w:t>S</w:t>
      </w:r>
      <w:r w:rsidRPr="002D092D">
        <w:rPr>
          <w:rFonts w:ascii="Arial" w:hAnsi="Arial" w:cs="Arial"/>
          <w:sz w:val="20"/>
          <w:szCs w:val="20"/>
        </w:rPr>
        <w:t>ervizi S</w:t>
      </w:r>
      <w:r w:rsidR="00A2333B">
        <w:rPr>
          <w:rFonts w:ascii="Arial" w:hAnsi="Arial" w:cs="Arial"/>
          <w:sz w:val="20"/>
          <w:szCs w:val="20"/>
        </w:rPr>
        <w:t>.r.l.</w:t>
      </w:r>
      <w:r w:rsidRPr="002D092D">
        <w:rPr>
          <w:rFonts w:ascii="Arial" w:hAnsi="Arial" w:cs="Arial"/>
          <w:sz w:val="20"/>
          <w:szCs w:val="20"/>
        </w:rPr>
        <w:t xml:space="preserve">, società </w:t>
      </w:r>
      <w:r w:rsidR="00A2333B">
        <w:rPr>
          <w:rFonts w:ascii="Arial" w:hAnsi="Arial" w:cs="Arial"/>
          <w:sz w:val="20"/>
          <w:szCs w:val="20"/>
        </w:rPr>
        <w:t>partecipata</w:t>
      </w:r>
      <w:r w:rsidRPr="002D092D">
        <w:rPr>
          <w:rFonts w:ascii="Arial" w:hAnsi="Arial" w:cs="Arial"/>
          <w:sz w:val="20"/>
          <w:szCs w:val="20"/>
        </w:rPr>
        <w:t xml:space="preserve"> dal Comune, che detiene la partecipazione </w:t>
      </w:r>
      <w:r w:rsidR="00BD51A4">
        <w:rPr>
          <w:rFonts w:ascii="Arial" w:hAnsi="Arial" w:cs="Arial"/>
          <w:sz w:val="20"/>
          <w:szCs w:val="20"/>
        </w:rPr>
        <w:t xml:space="preserve">del </w:t>
      </w:r>
      <w:r w:rsidR="00A2333B">
        <w:rPr>
          <w:rFonts w:ascii="Arial" w:hAnsi="Arial" w:cs="Arial"/>
          <w:sz w:val="20"/>
          <w:szCs w:val="20"/>
        </w:rPr>
        <w:t>1,6734</w:t>
      </w:r>
      <w:r w:rsidR="00BD51A4">
        <w:rPr>
          <w:rFonts w:ascii="Arial" w:hAnsi="Arial" w:cs="Arial"/>
          <w:sz w:val="20"/>
          <w:szCs w:val="20"/>
        </w:rPr>
        <w:t xml:space="preserve"> </w:t>
      </w:r>
      <w:r w:rsidRPr="00C81A32">
        <w:rPr>
          <w:rFonts w:ascii="Arial" w:hAnsi="Arial" w:cs="Arial"/>
          <w:sz w:val="20"/>
          <w:szCs w:val="20"/>
        </w:rPr>
        <w:t>delle quote sociali.</w:t>
      </w:r>
    </w:p>
    <w:p w:rsidR="001B7F79" w:rsidRPr="002D092D" w:rsidRDefault="001B7F79" w:rsidP="00CB73FA">
      <w:pPr>
        <w:jc w:val="both"/>
        <w:rPr>
          <w:rFonts w:ascii="Arial" w:hAnsi="Arial" w:cs="Arial"/>
          <w:sz w:val="20"/>
          <w:szCs w:val="20"/>
        </w:rPr>
      </w:pPr>
    </w:p>
    <w:p w:rsidR="00333B57" w:rsidRPr="002D092D" w:rsidRDefault="00333B57" w:rsidP="00CB73FA">
      <w:pPr>
        <w:jc w:val="both"/>
        <w:rPr>
          <w:rFonts w:ascii="Arial" w:hAnsi="Arial" w:cs="Arial"/>
          <w:b/>
          <w:sz w:val="20"/>
          <w:szCs w:val="20"/>
        </w:rPr>
      </w:pPr>
      <w:r w:rsidRPr="002D092D">
        <w:rPr>
          <w:rFonts w:ascii="Arial" w:hAnsi="Arial" w:cs="Arial"/>
          <w:b/>
          <w:sz w:val="20"/>
          <w:szCs w:val="20"/>
        </w:rPr>
        <w:t>DATI</w:t>
      </w:r>
      <w:r w:rsidR="0066222A" w:rsidRPr="002D092D">
        <w:rPr>
          <w:rFonts w:ascii="Arial" w:hAnsi="Arial" w:cs="Arial"/>
          <w:b/>
          <w:sz w:val="20"/>
          <w:szCs w:val="20"/>
        </w:rPr>
        <w:t xml:space="preserve"> CONSOLIDATI PER IL</w:t>
      </w:r>
      <w:r w:rsidRPr="002D092D">
        <w:rPr>
          <w:rFonts w:ascii="Arial" w:hAnsi="Arial" w:cs="Arial"/>
          <w:b/>
          <w:sz w:val="20"/>
          <w:szCs w:val="20"/>
        </w:rPr>
        <w:t xml:space="preserve"> GRUPPO “AMMINISTRAZIONE PUBBLICA” DEL COMUNE DI </w:t>
      </w:r>
      <w:r w:rsidR="00C81A32">
        <w:rPr>
          <w:rFonts w:ascii="Arial" w:hAnsi="Arial" w:cs="Arial"/>
          <w:b/>
          <w:sz w:val="20"/>
          <w:szCs w:val="20"/>
        </w:rPr>
        <w:t>SALGAREDA</w:t>
      </w:r>
    </w:p>
    <w:p w:rsidR="00CA0CE8" w:rsidRPr="002D092D" w:rsidRDefault="00333B57" w:rsidP="00CB73FA">
      <w:pPr>
        <w:jc w:val="both"/>
        <w:rPr>
          <w:rFonts w:ascii="Arial" w:hAnsi="Arial" w:cs="Arial"/>
          <w:sz w:val="20"/>
          <w:szCs w:val="20"/>
        </w:rPr>
      </w:pPr>
      <w:r w:rsidRPr="002D092D">
        <w:rPr>
          <w:rFonts w:ascii="Arial" w:hAnsi="Arial" w:cs="Arial"/>
          <w:sz w:val="20"/>
          <w:szCs w:val="20"/>
        </w:rPr>
        <w:t>Per quanto attiene ai dati contabili utilizzati per il consolidamento del bilancio, essi si riferiscono ai seguenti:</w:t>
      </w:r>
    </w:p>
    <w:p w:rsidR="00333B57" w:rsidRPr="002D092D" w:rsidRDefault="00333B57" w:rsidP="00CB73FA">
      <w:pPr>
        <w:pStyle w:val="Paragrafoelenco"/>
        <w:numPr>
          <w:ilvl w:val="0"/>
          <w:numId w:val="6"/>
        </w:numPr>
        <w:ind w:left="0" w:firstLine="0"/>
        <w:jc w:val="both"/>
        <w:rPr>
          <w:rFonts w:ascii="Arial" w:hAnsi="Arial" w:cs="Arial"/>
          <w:sz w:val="20"/>
          <w:szCs w:val="20"/>
        </w:rPr>
      </w:pPr>
      <w:r w:rsidRPr="002D092D">
        <w:rPr>
          <w:rFonts w:ascii="Arial" w:hAnsi="Arial" w:cs="Arial"/>
          <w:sz w:val="20"/>
          <w:szCs w:val="20"/>
        </w:rPr>
        <w:t xml:space="preserve">per quanto riguarda il Comune di </w:t>
      </w:r>
      <w:r w:rsidR="00C81A32">
        <w:rPr>
          <w:rFonts w:ascii="Arial" w:hAnsi="Arial" w:cs="Arial"/>
          <w:sz w:val="20"/>
          <w:szCs w:val="20"/>
        </w:rPr>
        <w:t>Salgareda</w:t>
      </w:r>
      <w:r w:rsidRPr="002D092D">
        <w:rPr>
          <w:rFonts w:ascii="Arial" w:hAnsi="Arial" w:cs="Arial"/>
          <w:sz w:val="20"/>
          <w:szCs w:val="20"/>
        </w:rPr>
        <w:t xml:space="preserve">, sono stati elaborati lo stato patrimoniale, attivo, passivo e relativo patrimonio netto, nonché il conto economico, approvati con deliberazione del Consiglio comunale n. </w:t>
      </w:r>
      <w:r w:rsidR="006F1756">
        <w:rPr>
          <w:rFonts w:ascii="Arial" w:hAnsi="Arial" w:cs="Arial"/>
          <w:sz w:val="20"/>
          <w:szCs w:val="20"/>
        </w:rPr>
        <w:t>14</w:t>
      </w:r>
      <w:r w:rsidRPr="002D092D">
        <w:rPr>
          <w:rFonts w:ascii="Arial" w:hAnsi="Arial" w:cs="Arial"/>
          <w:sz w:val="20"/>
          <w:szCs w:val="20"/>
        </w:rPr>
        <w:t xml:space="preserve"> del </w:t>
      </w:r>
      <w:r w:rsidR="006F1756">
        <w:rPr>
          <w:rFonts w:ascii="Arial" w:hAnsi="Arial" w:cs="Arial"/>
          <w:sz w:val="20"/>
          <w:szCs w:val="20"/>
        </w:rPr>
        <w:t>30</w:t>
      </w:r>
      <w:r w:rsidR="008C1341" w:rsidRPr="002D092D">
        <w:rPr>
          <w:rFonts w:ascii="Arial" w:hAnsi="Arial" w:cs="Arial"/>
          <w:sz w:val="20"/>
          <w:szCs w:val="20"/>
        </w:rPr>
        <w:t>/</w:t>
      </w:r>
      <w:r w:rsidR="00BD51A4">
        <w:rPr>
          <w:rFonts w:ascii="Arial" w:hAnsi="Arial" w:cs="Arial"/>
          <w:sz w:val="20"/>
          <w:szCs w:val="20"/>
        </w:rPr>
        <w:t>04</w:t>
      </w:r>
      <w:r w:rsidR="008C1341" w:rsidRPr="002D092D">
        <w:rPr>
          <w:rFonts w:ascii="Arial" w:hAnsi="Arial" w:cs="Arial"/>
          <w:sz w:val="20"/>
          <w:szCs w:val="20"/>
        </w:rPr>
        <w:t>/</w:t>
      </w:r>
      <w:r w:rsidRPr="002D092D">
        <w:rPr>
          <w:rFonts w:ascii="Arial" w:hAnsi="Arial" w:cs="Arial"/>
          <w:sz w:val="20"/>
          <w:szCs w:val="20"/>
        </w:rPr>
        <w:t>20</w:t>
      </w:r>
      <w:r w:rsidR="00BD51A4">
        <w:rPr>
          <w:rFonts w:ascii="Arial" w:hAnsi="Arial" w:cs="Arial"/>
          <w:sz w:val="20"/>
          <w:szCs w:val="20"/>
        </w:rPr>
        <w:t>16</w:t>
      </w:r>
      <w:r w:rsidRPr="002D092D">
        <w:rPr>
          <w:rFonts w:ascii="Arial" w:hAnsi="Arial" w:cs="Arial"/>
          <w:sz w:val="20"/>
          <w:szCs w:val="20"/>
        </w:rPr>
        <w:t>;</w:t>
      </w:r>
    </w:p>
    <w:p w:rsidR="00333B57" w:rsidRPr="002D092D" w:rsidRDefault="00333B57" w:rsidP="00CB73FA">
      <w:pPr>
        <w:pStyle w:val="Paragrafoelenco"/>
        <w:numPr>
          <w:ilvl w:val="0"/>
          <w:numId w:val="6"/>
        </w:numPr>
        <w:ind w:left="0" w:firstLine="0"/>
        <w:jc w:val="both"/>
        <w:rPr>
          <w:rFonts w:ascii="Arial" w:hAnsi="Arial" w:cs="Arial"/>
          <w:sz w:val="20"/>
          <w:szCs w:val="20"/>
        </w:rPr>
      </w:pPr>
      <w:r w:rsidRPr="002D092D">
        <w:rPr>
          <w:rFonts w:ascii="Arial" w:hAnsi="Arial" w:cs="Arial"/>
          <w:sz w:val="20"/>
          <w:szCs w:val="20"/>
        </w:rPr>
        <w:t xml:space="preserve">per quanto attiene alla </w:t>
      </w:r>
      <w:r w:rsidR="00BD51A4">
        <w:rPr>
          <w:rFonts w:ascii="Arial" w:hAnsi="Arial" w:cs="Arial"/>
          <w:sz w:val="20"/>
          <w:szCs w:val="20"/>
        </w:rPr>
        <w:t>Piave</w:t>
      </w:r>
      <w:r w:rsidRPr="002D092D">
        <w:rPr>
          <w:rFonts w:ascii="Arial" w:hAnsi="Arial" w:cs="Arial"/>
          <w:sz w:val="20"/>
          <w:szCs w:val="20"/>
        </w:rPr>
        <w:t xml:space="preserve"> servizi </w:t>
      </w:r>
      <w:r w:rsidR="006F1756">
        <w:rPr>
          <w:rFonts w:ascii="Arial" w:hAnsi="Arial" w:cs="Arial"/>
          <w:sz w:val="20"/>
          <w:szCs w:val="20"/>
        </w:rPr>
        <w:t>s.r.l.</w:t>
      </w:r>
      <w:r w:rsidRPr="002D092D">
        <w:rPr>
          <w:rFonts w:ascii="Arial" w:hAnsi="Arial" w:cs="Arial"/>
          <w:sz w:val="20"/>
          <w:szCs w:val="20"/>
        </w:rPr>
        <w:t>, sono stati elaborati lo stato patrimoniale, attivo, passivo e relativo patrimonio netto, nonché il conto economico</w:t>
      </w:r>
      <w:r w:rsidR="005D45E0" w:rsidRPr="002D092D">
        <w:rPr>
          <w:rFonts w:ascii="Arial" w:hAnsi="Arial" w:cs="Arial"/>
          <w:sz w:val="20"/>
          <w:szCs w:val="20"/>
        </w:rPr>
        <w:t>, approvati con verbale di assemblea ordinaria.</w:t>
      </w:r>
    </w:p>
    <w:p w:rsidR="00CA0CE8" w:rsidRDefault="00CA0CE8" w:rsidP="00CB73FA">
      <w:pPr>
        <w:jc w:val="both"/>
        <w:rPr>
          <w:rFonts w:ascii="Arial" w:hAnsi="Arial" w:cs="Arial"/>
          <w:sz w:val="20"/>
          <w:szCs w:val="20"/>
        </w:rPr>
      </w:pPr>
    </w:p>
    <w:p w:rsidR="0066222A" w:rsidRPr="002D092D" w:rsidRDefault="0066222A" w:rsidP="00CB73FA">
      <w:pPr>
        <w:jc w:val="both"/>
        <w:rPr>
          <w:rFonts w:ascii="Arial" w:hAnsi="Arial" w:cs="Arial"/>
          <w:b/>
          <w:sz w:val="20"/>
          <w:szCs w:val="20"/>
        </w:rPr>
      </w:pPr>
      <w:r w:rsidRPr="002D092D">
        <w:rPr>
          <w:rFonts w:ascii="Arial" w:hAnsi="Arial" w:cs="Arial"/>
          <w:b/>
          <w:sz w:val="20"/>
          <w:szCs w:val="20"/>
        </w:rPr>
        <w:t>MODALIT</w:t>
      </w:r>
      <w:r w:rsidR="006F1756">
        <w:rPr>
          <w:rFonts w:ascii="Arial" w:hAnsi="Arial" w:cs="Arial"/>
          <w:b/>
          <w:sz w:val="20"/>
          <w:szCs w:val="20"/>
        </w:rPr>
        <w:t>À</w:t>
      </w:r>
      <w:r w:rsidRPr="002D092D">
        <w:rPr>
          <w:rFonts w:ascii="Arial" w:hAnsi="Arial" w:cs="Arial"/>
          <w:b/>
          <w:sz w:val="20"/>
          <w:szCs w:val="20"/>
        </w:rPr>
        <w:t xml:space="preserve"> DI CONSOLIDAMENTO PER IL GRUPPO “AMMINISTRAZIONE PUBBLICA” DEL COMUNE DI </w:t>
      </w:r>
      <w:r w:rsidR="006F1756">
        <w:rPr>
          <w:rFonts w:ascii="Arial" w:hAnsi="Arial" w:cs="Arial"/>
          <w:b/>
          <w:sz w:val="20"/>
          <w:szCs w:val="20"/>
        </w:rPr>
        <w:t>SALGAREDA</w:t>
      </w:r>
    </w:p>
    <w:p w:rsidR="005D45E0" w:rsidRPr="002D092D" w:rsidRDefault="0066222A" w:rsidP="00CB73FA">
      <w:pPr>
        <w:jc w:val="both"/>
        <w:rPr>
          <w:rFonts w:ascii="Arial" w:hAnsi="Arial" w:cs="Arial"/>
          <w:sz w:val="20"/>
          <w:szCs w:val="20"/>
        </w:rPr>
      </w:pPr>
      <w:r w:rsidRPr="002D092D">
        <w:rPr>
          <w:rFonts w:ascii="Arial" w:hAnsi="Arial" w:cs="Arial"/>
          <w:sz w:val="20"/>
          <w:szCs w:val="20"/>
        </w:rPr>
        <w:t>Al fine dell’elaborazione operativa dello schema di bilancio consolidato, il Comune deve attenersi principalmente a due principi contabili:</w:t>
      </w:r>
    </w:p>
    <w:p w:rsidR="0066222A" w:rsidRPr="002D092D" w:rsidRDefault="0066222A" w:rsidP="00CB73FA">
      <w:pPr>
        <w:pStyle w:val="Paragrafoelenco"/>
        <w:numPr>
          <w:ilvl w:val="0"/>
          <w:numId w:val="1"/>
        </w:numPr>
        <w:ind w:left="0" w:firstLine="0"/>
        <w:jc w:val="both"/>
        <w:rPr>
          <w:rFonts w:ascii="Arial" w:hAnsi="Arial" w:cs="Arial"/>
          <w:sz w:val="20"/>
          <w:szCs w:val="20"/>
        </w:rPr>
      </w:pPr>
      <w:r w:rsidRPr="002D092D">
        <w:rPr>
          <w:rFonts w:ascii="Arial" w:hAnsi="Arial" w:cs="Arial"/>
          <w:sz w:val="20"/>
          <w:szCs w:val="20"/>
        </w:rPr>
        <w:t>il principio contabile applicato concernente la contabilità economico-patrimoniale degli enti in contabilità finanziaria (allegato n. 4/3 al D.Lgs. n. 118/2011);</w:t>
      </w:r>
    </w:p>
    <w:p w:rsidR="0066222A" w:rsidRPr="002D092D" w:rsidRDefault="0066222A" w:rsidP="00CB73FA">
      <w:pPr>
        <w:pStyle w:val="Paragrafoelenco"/>
        <w:numPr>
          <w:ilvl w:val="0"/>
          <w:numId w:val="1"/>
        </w:numPr>
        <w:ind w:left="0" w:firstLine="0"/>
        <w:jc w:val="both"/>
        <w:rPr>
          <w:rFonts w:ascii="Arial" w:hAnsi="Arial" w:cs="Arial"/>
          <w:sz w:val="20"/>
          <w:szCs w:val="20"/>
        </w:rPr>
      </w:pPr>
      <w:r w:rsidRPr="002D092D">
        <w:rPr>
          <w:rFonts w:ascii="Arial" w:hAnsi="Arial" w:cs="Arial"/>
          <w:sz w:val="20"/>
          <w:szCs w:val="20"/>
        </w:rPr>
        <w:t>il principio contabile applicato concernente il bilancio consolidato (allegato n. 4/4 al D.Lgs. n. 118/2011).</w:t>
      </w:r>
    </w:p>
    <w:p w:rsidR="0066222A" w:rsidRPr="002D092D" w:rsidRDefault="0066222A" w:rsidP="00CB73FA">
      <w:pPr>
        <w:jc w:val="both"/>
        <w:rPr>
          <w:rFonts w:ascii="Arial" w:hAnsi="Arial" w:cs="Arial"/>
          <w:sz w:val="20"/>
          <w:szCs w:val="20"/>
        </w:rPr>
      </w:pPr>
      <w:r w:rsidRPr="002D092D">
        <w:rPr>
          <w:rFonts w:ascii="Arial" w:hAnsi="Arial" w:cs="Arial"/>
          <w:sz w:val="20"/>
          <w:szCs w:val="20"/>
        </w:rPr>
        <w:t>Il Comune capogruppo deve altresì utilizzare lo schema predisposto nell’allegato n. 11 al D.Lgs. n. 118/2011.</w:t>
      </w:r>
    </w:p>
    <w:p w:rsidR="0066222A" w:rsidRPr="002D092D" w:rsidRDefault="0066222A" w:rsidP="00CB73FA">
      <w:pPr>
        <w:jc w:val="both"/>
        <w:rPr>
          <w:rFonts w:ascii="Arial" w:hAnsi="Arial" w:cs="Arial"/>
          <w:sz w:val="20"/>
          <w:szCs w:val="20"/>
        </w:rPr>
      </w:pPr>
      <w:r w:rsidRPr="002D092D">
        <w:rPr>
          <w:rFonts w:ascii="Arial" w:hAnsi="Arial" w:cs="Arial"/>
          <w:sz w:val="20"/>
          <w:szCs w:val="20"/>
        </w:rPr>
        <w:t>Ai sensi del punto 4.4 del principio contabile applicato concernente il bilancio consolidato (allegato n. 4/4 al D.Lgs. n. 118/2011), il consolidamento dei bilanci può essere effettuato attraverso due diversi metodi:</w:t>
      </w:r>
    </w:p>
    <w:p w:rsidR="0066222A" w:rsidRPr="002D092D" w:rsidRDefault="0066222A" w:rsidP="00CB73FA">
      <w:pPr>
        <w:pStyle w:val="Paragrafoelenco"/>
        <w:numPr>
          <w:ilvl w:val="0"/>
          <w:numId w:val="7"/>
        </w:numPr>
        <w:ind w:left="0" w:firstLine="0"/>
        <w:jc w:val="both"/>
        <w:rPr>
          <w:rFonts w:ascii="Arial" w:hAnsi="Arial" w:cs="Arial"/>
          <w:sz w:val="20"/>
          <w:szCs w:val="20"/>
        </w:rPr>
      </w:pPr>
      <w:r w:rsidRPr="002D092D">
        <w:rPr>
          <w:rFonts w:ascii="Arial" w:hAnsi="Arial" w:cs="Arial"/>
          <w:sz w:val="20"/>
          <w:szCs w:val="20"/>
        </w:rPr>
        <w:t xml:space="preserve">il </w:t>
      </w:r>
      <w:r w:rsidRPr="002D092D">
        <w:rPr>
          <w:rFonts w:ascii="Arial" w:hAnsi="Arial" w:cs="Arial"/>
          <w:b/>
          <w:sz w:val="20"/>
          <w:szCs w:val="20"/>
        </w:rPr>
        <w:t>metodo integrale</w:t>
      </w:r>
      <w:r w:rsidRPr="002D092D">
        <w:rPr>
          <w:rFonts w:ascii="Arial" w:hAnsi="Arial" w:cs="Arial"/>
          <w:sz w:val="20"/>
          <w:szCs w:val="20"/>
        </w:rPr>
        <w:t>, che consiste nell’aggregare l’intero importo delle voci contabili con riferimento ai bilanci degli enti strumentali controllati e delle società controllate;</w:t>
      </w:r>
    </w:p>
    <w:p w:rsidR="0066222A" w:rsidRPr="002D092D" w:rsidRDefault="0066222A" w:rsidP="00CB73FA">
      <w:pPr>
        <w:pStyle w:val="Paragrafoelenco"/>
        <w:numPr>
          <w:ilvl w:val="0"/>
          <w:numId w:val="7"/>
        </w:numPr>
        <w:ind w:left="0" w:firstLine="0"/>
        <w:jc w:val="both"/>
        <w:rPr>
          <w:rFonts w:ascii="Arial" w:hAnsi="Arial" w:cs="Arial"/>
          <w:sz w:val="20"/>
          <w:szCs w:val="20"/>
        </w:rPr>
      </w:pPr>
      <w:r w:rsidRPr="002D092D">
        <w:rPr>
          <w:rFonts w:ascii="Arial" w:hAnsi="Arial" w:cs="Arial"/>
          <w:sz w:val="20"/>
          <w:szCs w:val="20"/>
        </w:rPr>
        <w:t xml:space="preserve">il </w:t>
      </w:r>
      <w:r w:rsidRPr="002D092D">
        <w:rPr>
          <w:rFonts w:ascii="Arial" w:hAnsi="Arial" w:cs="Arial"/>
          <w:b/>
          <w:sz w:val="20"/>
          <w:szCs w:val="20"/>
        </w:rPr>
        <w:t>metodo proporzionale</w:t>
      </w:r>
      <w:r w:rsidRPr="002D092D">
        <w:rPr>
          <w:rFonts w:ascii="Arial" w:hAnsi="Arial" w:cs="Arial"/>
          <w:sz w:val="20"/>
          <w:szCs w:val="20"/>
        </w:rPr>
        <w:t xml:space="preserve">, che consiste nell’aggregare l’importo </w:t>
      </w:r>
      <w:r w:rsidR="00060368" w:rsidRPr="002D092D">
        <w:rPr>
          <w:rFonts w:ascii="Arial" w:hAnsi="Arial" w:cs="Arial"/>
          <w:sz w:val="20"/>
          <w:szCs w:val="20"/>
        </w:rPr>
        <w:t xml:space="preserve">in misura </w:t>
      </w:r>
      <w:r w:rsidRPr="002D092D">
        <w:rPr>
          <w:rFonts w:ascii="Arial" w:hAnsi="Arial" w:cs="Arial"/>
          <w:sz w:val="20"/>
          <w:szCs w:val="20"/>
        </w:rPr>
        <w:t>proporzionale alla quota di partecipazione con riferimento ai bilanci delle società partecipate e degli enti strumentali partecipati.</w:t>
      </w:r>
    </w:p>
    <w:p w:rsidR="0066222A" w:rsidRDefault="0066222A" w:rsidP="00CB73FA">
      <w:pPr>
        <w:jc w:val="both"/>
        <w:rPr>
          <w:rFonts w:ascii="Arial" w:hAnsi="Arial" w:cs="Arial"/>
          <w:sz w:val="20"/>
          <w:szCs w:val="20"/>
        </w:rPr>
      </w:pPr>
      <w:r w:rsidRPr="002D092D">
        <w:rPr>
          <w:rFonts w:ascii="Arial" w:hAnsi="Arial" w:cs="Arial"/>
          <w:sz w:val="20"/>
          <w:szCs w:val="20"/>
        </w:rPr>
        <w:t xml:space="preserve">In considerazione del fatto che nel gruppo “amministrazione pubblica” del Comune di </w:t>
      </w:r>
      <w:r w:rsidR="00746ED6">
        <w:rPr>
          <w:rFonts w:ascii="Arial" w:hAnsi="Arial" w:cs="Arial"/>
          <w:sz w:val="20"/>
          <w:szCs w:val="20"/>
        </w:rPr>
        <w:t>Salgareda</w:t>
      </w:r>
      <w:r w:rsidRPr="002D092D">
        <w:rPr>
          <w:rFonts w:ascii="Arial" w:hAnsi="Arial" w:cs="Arial"/>
          <w:sz w:val="20"/>
          <w:szCs w:val="20"/>
        </w:rPr>
        <w:t xml:space="preserve"> è presente, oltre al Comune capogruppo, unicamente la </w:t>
      </w:r>
      <w:r w:rsidR="00BD51A4">
        <w:rPr>
          <w:rFonts w:ascii="Arial" w:hAnsi="Arial" w:cs="Arial"/>
          <w:sz w:val="20"/>
          <w:szCs w:val="20"/>
        </w:rPr>
        <w:t xml:space="preserve">Piave </w:t>
      </w:r>
      <w:r w:rsidR="00746ED6">
        <w:rPr>
          <w:rFonts w:ascii="Arial" w:hAnsi="Arial" w:cs="Arial"/>
          <w:sz w:val="20"/>
          <w:szCs w:val="20"/>
        </w:rPr>
        <w:t>S</w:t>
      </w:r>
      <w:r w:rsidR="00BD51A4">
        <w:rPr>
          <w:rFonts w:ascii="Arial" w:hAnsi="Arial" w:cs="Arial"/>
          <w:sz w:val="20"/>
          <w:szCs w:val="20"/>
        </w:rPr>
        <w:t>ervizi</w:t>
      </w:r>
      <w:r w:rsidR="00060368" w:rsidRPr="002D092D">
        <w:rPr>
          <w:rFonts w:ascii="Arial" w:hAnsi="Arial" w:cs="Arial"/>
          <w:sz w:val="20"/>
          <w:szCs w:val="20"/>
        </w:rPr>
        <w:t xml:space="preserve"> s</w:t>
      </w:r>
      <w:r w:rsidR="00746ED6">
        <w:rPr>
          <w:rFonts w:ascii="Arial" w:hAnsi="Arial" w:cs="Arial"/>
          <w:sz w:val="20"/>
          <w:szCs w:val="20"/>
        </w:rPr>
        <w:t>.</w:t>
      </w:r>
      <w:r w:rsidR="00060368" w:rsidRPr="002D092D">
        <w:rPr>
          <w:rFonts w:ascii="Arial" w:hAnsi="Arial" w:cs="Arial"/>
          <w:sz w:val="20"/>
          <w:szCs w:val="20"/>
        </w:rPr>
        <w:t>r</w:t>
      </w:r>
      <w:r w:rsidR="00746ED6">
        <w:rPr>
          <w:rFonts w:ascii="Arial" w:hAnsi="Arial" w:cs="Arial"/>
          <w:sz w:val="20"/>
          <w:szCs w:val="20"/>
        </w:rPr>
        <w:t>.</w:t>
      </w:r>
      <w:r w:rsidR="00060368" w:rsidRPr="002D092D">
        <w:rPr>
          <w:rFonts w:ascii="Arial" w:hAnsi="Arial" w:cs="Arial"/>
          <w:sz w:val="20"/>
          <w:szCs w:val="20"/>
        </w:rPr>
        <w:t>l</w:t>
      </w:r>
      <w:r w:rsidR="00746ED6">
        <w:rPr>
          <w:rFonts w:ascii="Arial" w:hAnsi="Arial" w:cs="Arial"/>
          <w:sz w:val="20"/>
          <w:szCs w:val="20"/>
        </w:rPr>
        <w:t>.</w:t>
      </w:r>
      <w:r w:rsidRPr="002D092D">
        <w:rPr>
          <w:rFonts w:ascii="Arial" w:hAnsi="Arial" w:cs="Arial"/>
          <w:sz w:val="20"/>
          <w:szCs w:val="20"/>
        </w:rPr>
        <w:t>, societ</w:t>
      </w:r>
      <w:r w:rsidR="00746ED6">
        <w:rPr>
          <w:rFonts w:ascii="Arial" w:hAnsi="Arial" w:cs="Arial"/>
          <w:sz w:val="20"/>
          <w:szCs w:val="20"/>
        </w:rPr>
        <w:t>à</w:t>
      </w:r>
      <w:r w:rsidRPr="002D092D">
        <w:rPr>
          <w:rFonts w:ascii="Arial" w:hAnsi="Arial" w:cs="Arial"/>
          <w:sz w:val="20"/>
          <w:szCs w:val="20"/>
        </w:rPr>
        <w:t xml:space="preserve"> </w:t>
      </w:r>
      <w:r w:rsidR="00746ED6">
        <w:rPr>
          <w:rFonts w:ascii="Arial" w:hAnsi="Arial" w:cs="Arial"/>
          <w:sz w:val="20"/>
          <w:szCs w:val="20"/>
        </w:rPr>
        <w:t>partecipa</w:t>
      </w:r>
      <w:r w:rsidRPr="002D092D">
        <w:rPr>
          <w:rFonts w:ascii="Arial" w:hAnsi="Arial" w:cs="Arial"/>
          <w:sz w:val="20"/>
          <w:szCs w:val="20"/>
        </w:rPr>
        <w:t xml:space="preserve">ta con una quota sociale del </w:t>
      </w:r>
      <w:r w:rsidR="00746ED6">
        <w:rPr>
          <w:rFonts w:ascii="Arial" w:hAnsi="Arial" w:cs="Arial"/>
          <w:sz w:val="20"/>
          <w:szCs w:val="20"/>
        </w:rPr>
        <w:t>1,6734</w:t>
      </w:r>
      <w:r w:rsidRPr="002D092D">
        <w:rPr>
          <w:rFonts w:ascii="Arial" w:hAnsi="Arial" w:cs="Arial"/>
          <w:sz w:val="20"/>
          <w:szCs w:val="20"/>
        </w:rPr>
        <w:t>% dal Comune stesso, il consolidamento del bilancio al 31 dicembre 201</w:t>
      </w:r>
      <w:r w:rsidR="00BD51A4">
        <w:rPr>
          <w:rFonts w:ascii="Arial" w:hAnsi="Arial" w:cs="Arial"/>
          <w:sz w:val="20"/>
          <w:szCs w:val="20"/>
        </w:rPr>
        <w:t>5</w:t>
      </w:r>
      <w:r w:rsidRPr="002D092D">
        <w:rPr>
          <w:rFonts w:ascii="Arial" w:hAnsi="Arial" w:cs="Arial"/>
          <w:sz w:val="20"/>
          <w:szCs w:val="20"/>
        </w:rPr>
        <w:t xml:space="preserve"> è stato effettuato </w:t>
      </w:r>
      <w:r w:rsidRPr="002D092D">
        <w:rPr>
          <w:rFonts w:ascii="Arial" w:hAnsi="Arial" w:cs="Arial"/>
          <w:sz w:val="20"/>
          <w:szCs w:val="20"/>
          <w:u w:val="single"/>
        </w:rPr>
        <w:t xml:space="preserve">utilizzando il metodo </w:t>
      </w:r>
      <w:r w:rsidR="00BD51A4">
        <w:rPr>
          <w:rFonts w:ascii="Arial" w:hAnsi="Arial" w:cs="Arial"/>
          <w:sz w:val="20"/>
          <w:szCs w:val="20"/>
          <w:u w:val="single"/>
        </w:rPr>
        <w:t>proporzionale</w:t>
      </w:r>
      <w:r w:rsidRPr="002D092D">
        <w:rPr>
          <w:rFonts w:ascii="Arial" w:hAnsi="Arial" w:cs="Arial"/>
          <w:sz w:val="20"/>
          <w:szCs w:val="20"/>
        </w:rPr>
        <w:t>.</w:t>
      </w:r>
    </w:p>
    <w:p w:rsidR="00527D31" w:rsidRPr="002D092D" w:rsidRDefault="00527D31" w:rsidP="00CB73FA">
      <w:pPr>
        <w:jc w:val="both"/>
        <w:rPr>
          <w:rFonts w:ascii="Arial" w:hAnsi="Arial" w:cs="Arial"/>
          <w:sz w:val="20"/>
          <w:szCs w:val="20"/>
        </w:rPr>
      </w:pPr>
    </w:p>
    <w:p w:rsidR="00C81A32" w:rsidRPr="00C81A32" w:rsidRDefault="00C81A32" w:rsidP="00CB73FA">
      <w:pPr>
        <w:jc w:val="both"/>
        <w:rPr>
          <w:rFonts w:ascii="Arial" w:hAnsi="Arial" w:cs="Arial"/>
          <w:b/>
          <w:bCs/>
          <w:sz w:val="20"/>
          <w:szCs w:val="20"/>
        </w:rPr>
      </w:pPr>
      <w:r w:rsidRPr="00C81A32">
        <w:rPr>
          <w:rFonts w:ascii="Arial" w:hAnsi="Arial" w:cs="Arial"/>
          <w:b/>
          <w:bCs/>
          <w:sz w:val="20"/>
          <w:szCs w:val="20"/>
        </w:rPr>
        <w:lastRenderedPageBreak/>
        <w:t>ELIMINAZIONE DELLE OPERAZIONI INFRAGRUPPO</w:t>
      </w:r>
    </w:p>
    <w:p w:rsidR="00AD1CB6" w:rsidRPr="002D092D" w:rsidRDefault="00C81A32" w:rsidP="00CB73FA">
      <w:pPr>
        <w:jc w:val="both"/>
        <w:rPr>
          <w:rFonts w:ascii="Arial" w:hAnsi="Arial" w:cs="Arial"/>
          <w:sz w:val="20"/>
          <w:szCs w:val="20"/>
        </w:rPr>
      </w:pPr>
      <w:r w:rsidRPr="00C81A32">
        <w:rPr>
          <w:rFonts w:ascii="Arial" w:hAnsi="Arial" w:cs="Arial"/>
          <w:sz w:val="20"/>
          <w:szCs w:val="20"/>
        </w:rPr>
        <w:t>Il bilancio consolidato deve includere soltanto le operazioni che i componenti inclusi nel</w:t>
      </w:r>
      <w:r>
        <w:rPr>
          <w:rFonts w:ascii="Arial" w:hAnsi="Arial" w:cs="Arial"/>
          <w:sz w:val="20"/>
          <w:szCs w:val="20"/>
        </w:rPr>
        <w:t xml:space="preserve"> </w:t>
      </w:r>
      <w:r w:rsidRPr="00C81A32">
        <w:rPr>
          <w:rFonts w:ascii="Arial" w:hAnsi="Arial" w:cs="Arial"/>
          <w:sz w:val="20"/>
          <w:szCs w:val="20"/>
        </w:rPr>
        <w:t>consolidamento hanno effettuato con i terzi estranei al gruppo. Il bilancio consolidato si</w:t>
      </w:r>
      <w:r>
        <w:rPr>
          <w:rFonts w:ascii="Arial" w:hAnsi="Arial" w:cs="Arial"/>
          <w:sz w:val="20"/>
          <w:szCs w:val="20"/>
        </w:rPr>
        <w:t xml:space="preserve"> </w:t>
      </w:r>
      <w:r w:rsidRPr="00C81A32">
        <w:rPr>
          <w:rFonts w:ascii="Arial" w:hAnsi="Arial" w:cs="Arial"/>
          <w:sz w:val="20"/>
          <w:szCs w:val="20"/>
        </w:rPr>
        <w:t>basa infatti sul principio che esso deve riflettere la situazione patrimoniale-finanziaria e le</w:t>
      </w:r>
      <w:r>
        <w:rPr>
          <w:rFonts w:ascii="Arial" w:hAnsi="Arial" w:cs="Arial"/>
          <w:sz w:val="20"/>
          <w:szCs w:val="20"/>
        </w:rPr>
        <w:t xml:space="preserve"> </w:t>
      </w:r>
      <w:r w:rsidRPr="00C81A32">
        <w:rPr>
          <w:rFonts w:ascii="Arial" w:hAnsi="Arial" w:cs="Arial"/>
          <w:sz w:val="20"/>
          <w:szCs w:val="20"/>
        </w:rPr>
        <w:t>sue variazioni, incluso il risultato economico conseguito, di un'unica entità economica</w:t>
      </w:r>
      <w:r>
        <w:rPr>
          <w:rFonts w:ascii="Arial" w:hAnsi="Arial" w:cs="Arial"/>
          <w:sz w:val="20"/>
          <w:szCs w:val="20"/>
        </w:rPr>
        <w:t xml:space="preserve"> </w:t>
      </w:r>
      <w:r w:rsidRPr="00C81A32">
        <w:rPr>
          <w:rFonts w:ascii="Arial" w:hAnsi="Arial" w:cs="Arial"/>
          <w:sz w:val="20"/>
          <w:szCs w:val="20"/>
        </w:rPr>
        <w:t>composta da una pluralità di soggetti giuridici.</w:t>
      </w:r>
      <w:r>
        <w:rPr>
          <w:rFonts w:ascii="Arial" w:hAnsi="Arial" w:cs="Arial"/>
          <w:sz w:val="20"/>
          <w:szCs w:val="20"/>
        </w:rPr>
        <w:t xml:space="preserve"> </w:t>
      </w:r>
      <w:r w:rsidRPr="00C81A32">
        <w:rPr>
          <w:rFonts w:ascii="Arial" w:hAnsi="Arial" w:cs="Arial"/>
          <w:sz w:val="20"/>
          <w:szCs w:val="20"/>
        </w:rPr>
        <w:t>Pertanto, sono stati eliminati in sede di consolidamento le operazioni e i saldi reciproci,</w:t>
      </w:r>
      <w:r>
        <w:rPr>
          <w:rFonts w:ascii="Arial" w:hAnsi="Arial" w:cs="Arial"/>
          <w:sz w:val="20"/>
          <w:szCs w:val="20"/>
        </w:rPr>
        <w:t xml:space="preserve"> </w:t>
      </w:r>
      <w:r w:rsidRPr="00C81A32">
        <w:rPr>
          <w:rFonts w:ascii="Arial" w:hAnsi="Arial" w:cs="Arial"/>
          <w:sz w:val="20"/>
          <w:szCs w:val="20"/>
        </w:rPr>
        <w:t>perché costituiscono semplicemente il trasferimento di risorse all'interno del gruppo; infatti,</w:t>
      </w:r>
      <w:r>
        <w:rPr>
          <w:rFonts w:ascii="Arial" w:hAnsi="Arial" w:cs="Arial"/>
          <w:sz w:val="20"/>
          <w:szCs w:val="20"/>
        </w:rPr>
        <w:t xml:space="preserve"> </w:t>
      </w:r>
      <w:r w:rsidRPr="00C81A32">
        <w:rPr>
          <w:rFonts w:ascii="Arial" w:hAnsi="Arial" w:cs="Arial"/>
          <w:sz w:val="20"/>
          <w:szCs w:val="20"/>
        </w:rPr>
        <w:t>qualora non fossero eliminate tali partite, i saldi consolidati risulterebbero indebitamente</w:t>
      </w:r>
      <w:r>
        <w:rPr>
          <w:rFonts w:ascii="Arial" w:hAnsi="Arial" w:cs="Arial"/>
          <w:sz w:val="20"/>
          <w:szCs w:val="20"/>
        </w:rPr>
        <w:t xml:space="preserve"> </w:t>
      </w:r>
      <w:r w:rsidRPr="00C81A32">
        <w:rPr>
          <w:rFonts w:ascii="Arial" w:hAnsi="Arial" w:cs="Arial"/>
          <w:sz w:val="20"/>
          <w:szCs w:val="20"/>
        </w:rPr>
        <w:t>accresciuti. La corretta procedura di eliminazione di tali poste presuppone l'equivalenza</w:t>
      </w:r>
      <w:r>
        <w:rPr>
          <w:rFonts w:ascii="Arial" w:hAnsi="Arial" w:cs="Arial"/>
          <w:sz w:val="20"/>
          <w:szCs w:val="20"/>
        </w:rPr>
        <w:t xml:space="preserve"> </w:t>
      </w:r>
      <w:r w:rsidRPr="00C81A32">
        <w:rPr>
          <w:rFonts w:ascii="Arial" w:hAnsi="Arial" w:cs="Arial"/>
          <w:sz w:val="20"/>
          <w:szCs w:val="20"/>
        </w:rPr>
        <w:t>delle partite reciproche e l'accertamento delle eventuali differenze.</w:t>
      </w:r>
      <w:r>
        <w:rPr>
          <w:rFonts w:ascii="Arial" w:hAnsi="Arial" w:cs="Arial"/>
          <w:sz w:val="20"/>
          <w:szCs w:val="20"/>
        </w:rPr>
        <w:t xml:space="preserve"> </w:t>
      </w:r>
      <w:r w:rsidRPr="00C81A32">
        <w:rPr>
          <w:rFonts w:ascii="Arial" w:hAnsi="Arial" w:cs="Arial"/>
          <w:sz w:val="20"/>
          <w:szCs w:val="20"/>
        </w:rPr>
        <w:t>L'identificazione delle operazioni infragruppo ai fini dell'eliminazione e dell'elisione dei dati</w:t>
      </w:r>
      <w:r>
        <w:rPr>
          <w:rFonts w:ascii="Arial" w:hAnsi="Arial" w:cs="Arial"/>
          <w:sz w:val="20"/>
          <w:szCs w:val="20"/>
        </w:rPr>
        <w:t xml:space="preserve"> </w:t>
      </w:r>
      <w:r w:rsidRPr="00C81A32">
        <w:rPr>
          <w:rFonts w:ascii="Arial" w:hAnsi="Arial" w:cs="Arial"/>
          <w:sz w:val="20"/>
          <w:szCs w:val="20"/>
        </w:rPr>
        <w:t>contabili relativi è effettuata sulla base delle informazioni in possesso dell’ente.</w:t>
      </w:r>
    </w:p>
    <w:p w:rsidR="00F346C6" w:rsidRDefault="00F346C6" w:rsidP="00CB73FA">
      <w:pPr>
        <w:jc w:val="both"/>
        <w:rPr>
          <w:rFonts w:ascii="Arial" w:hAnsi="Arial" w:cs="Arial"/>
          <w:b/>
          <w:sz w:val="20"/>
          <w:szCs w:val="20"/>
        </w:rPr>
      </w:pPr>
      <w:r w:rsidRPr="002D092D">
        <w:rPr>
          <w:rFonts w:ascii="Arial" w:hAnsi="Arial" w:cs="Arial"/>
          <w:b/>
          <w:sz w:val="20"/>
          <w:szCs w:val="20"/>
        </w:rPr>
        <w:t xml:space="preserve">IL BILANCIO CONSOLIDATO DEL GRUPPO “AMMINISTRAZIONE PUBBLICA” DEL COMUNE DI </w:t>
      </w:r>
      <w:r w:rsidR="00746ED6">
        <w:rPr>
          <w:rFonts w:ascii="Arial" w:hAnsi="Arial" w:cs="Arial"/>
          <w:b/>
          <w:sz w:val="20"/>
          <w:szCs w:val="20"/>
        </w:rPr>
        <w:t>SALGAREDA</w:t>
      </w:r>
      <w:r w:rsidR="00FC6F4A">
        <w:rPr>
          <w:rFonts w:ascii="Arial" w:hAnsi="Arial" w:cs="Arial"/>
          <w:b/>
          <w:sz w:val="20"/>
          <w:szCs w:val="20"/>
        </w:rPr>
        <w:t xml:space="preserve"> PER L’ESERCIZIO 2015</w:t>
      </w:r>
    </w:p>
    <w:p w:rsidR="00681BDC" w:rsidRPr="00681BDC" w:rsidRDefault="00681BDC" w:rsidP="00681BDC">
      <w:pPr>
        <w:jc w:val="both"/>
        <w:rPr>
          <w:rFonts w:ascii="Arial" w:hAnsi="Arial" w:cs="Arial"/>
          <w:sz w:val="20"/>
          <w:szCs w:val="20"/>
        </w:rPr>
      </w:pPr>
      <w:r w:rsidRPr="00681BDC">
        <w:rPr>
          <w:rFonts w:ascii="Arial" w:hAnsi="Arial" w:cs="Arial"/>
          <w:sz w:val="20"/>
          <w:szCs w:val="20"/>
        </w:rPr>
        <w:t>Al termine delle operazioni di eliminazione ed elisione delle poste reciproche, si redige il Bilancio Consolidato costituito</w:t>
      </w:r>
      <w:r>
        <w:rPr>
          <w:rFonts w:ascii="Arial" w:hAnsi="Arial" w:cs="Arial"/>
          <w:sz w:val="20"/>
          <w:szCs w:val="20"/>
        </w:rPr>
        <w:t xml:space="preserve"> </w:t>
      </w:r>
      <w:r w:rsidRPr="00681BDC">
        <w:rPr>
          <w:rFonts w:ascii="Arial" w:hAnsi="Arial" w:cs="Arial"/>
          <w:sz w:val="20"/>
          <w:szCs w:val="20"/>
        </w:rPr>
        <w:t>da conto economico e stato patrimoniale.</w:t>
      </w:r>
      <w:r>
        <w:rPr>
          <w:rFonts w:ascii="Arial" w:hAnsi="Arial" w:cs="Arial"/>
          <w:sz w:val="20"/>
          <w:szCs w:val="20"/>
        </w:rPr>
        <w:t xml:space="preserve"> </w:t>
      </w:r>
      <w:r w:rsidRPr="00681BDC">
        <w:rPr>
          <w:rFonts w:ascii="Arial" w:hAnsi="Arial" w:cs="Arial"/>
          <w:sz w:val="20"/>
          <w:szCs w:val="20"/>
        </w:rPr>
        <w:t>Procedendo al consolidamento proporzionale, si considerano solo l'attivo/passivo - costi/ricavi di tutte le società</w:t>
      </w:r>
      <w:r>
        <w:rPr>
          <w:rFonts w:ascii="Arial" w:hAnsi="Arial" w:cs="Arial"/>
          <w:sz w:val="20"/>
          <w:szCs w:val="20"/>
        </w:rPr>
        <w:t xml:space="preserve"> </w:t>
      </w:r>
      <w:r w:rsidRPr="00681BDC">
        <w:rPr>
          <w:rFonts w:ascii="Arial" w:hAnsi="Arial" w:cs="Arial"/>
          <w:sz w:val="20"/>
          <w:szCs w:val="20"/>
        </w:rPr>
        <w:t>partecipate in base alla percentuale di competenza del Comune e per questo motivo non risulta la quota di competenza</w:t>
      </w:r>
      <w:r>
        <w:rPr>
          <w:rFonts w:ascii="Arial" w:hAnsi="Arial" w:cs="Arial"/>
          <w:sz w:val="20"/>
          <w:szCs w:val="20"/>
        </w:rPr>
        <w:t xml:space="preserve"> </w:t>
      </w:r>
      <w:r w:rsidRPr="00681BDC">
        <w:rPr>
          <w:rFonts w:ascii="Arial" w:hAnsi="Arial" w:cs="Arial"/>
          <w:sz w:val="20"/>
          <w:szCs w:val="20"/>
        </w:rPr>
        <w:t>di terzi.</w:t>
      </w:r>
      <w:r>
        <w:rPr>
          <w:rFonts w:ascii="Arial" w:hAnsi="Arial" w:cs="Arial"/>
          <w:sz w:val="20"/>
          <w:szCs w:val="20"/>
        </w:rPr>
        <w:t xml:space="preserve"> </w:t>
      </w:r>
      <w:r w:rsidRPr="00681BDC">
        <w:rPr>
          <w:rFonts w:ascii="Arial" w:hAnsi="Arial" w:cs="Arial"/>
          <w:sz w:val="20"/>
          <w:szCs w:val="20"/>
        </w:rPr>
        <w:t>Non vengono presentati dati comparativi in quanto l’esercizio chiuso al 31 dicembre 201</w:t>
      </w:r>
      <w:r>
        <w:rPr>
          <w:rFonts w:ascii="Arial" w:hAnsi="Arial" w:cs="Arial"/>
          <w:sz w:val="20"/>
          <w:szCs w:val="20"/>
        </w:rPr>
        <w:t>5</w:t>
      </w:r>
      <w:r w:rsidRPr="00681BDC">
        <w:rPr>
          <w:rFonts w:ascii="Arial" w:hAnsi="Arial" w:cs="Arial"/>
          <w:sz w:val="20"/>
          <w:szCs w:val="20"/>
        </w:rPr>
        <w:t xml:space="preserve"> è il primo in cui viene redatto il</w:t>
      </w:r>
      <w:r>
        <w:rPr>
          <w:rFonts w:ascii="Arial" w:hAnsi="Arial" w:cs="Arial"/>
          <w:sz w:val="20"/>
          <w:szCs w:val="20"/>
        </w:rPr>
        <w:t xml:space="preserve"> </w:t>
      </w:r>
      <w:r w:rsidRPr="00681BDC">
        <w:rPr>
          <w:rFonts w:ascii="Arial" w:hAnsi="Arial" w:cs="Arial"/>
          <w:sz w:val="20"/>
          <w:szCs w:val="20"/>
        </w:rPr>
        <w:t>bilancio consolidato.</w:t>
      </w:r>
    </w:p>
    <w:p w:rsidR="00681BDC" w:rsidRPr="00681BDC" w:rsidRDefault="00681BDC" w:rsidP="00681BDC">
      <w:pPr>
        <w:jc w:val="both"/>
        <w:rPr>
          <w:rFonts w:ascii="Arial" w:hAnsi="Arial" w:cs="Arial"/>
          <w:b/>
          <w:bCs/>
          <w:sz w:val="20"/>
          <w:szCs w:val="20"/>
        </w:rPr>
      </w:pPr>
      <w:r w:rsidRPr="00681BDC">
        <w:rPr>
          <w:rFonts w:ascii="Arial" w:hAnsi="Arial" w:cs="Arial"/>
          <w:b/>
          <w:bCs/>
          <w:sz w:val="20"/>
          <w:szCs w:val="20"/>
        </w:rPr>
        <w:t>NOTA INTEGRATIVA</w:t>
      </w:r>
    </w:p>
    <w:p w:rsidR="00681BDC" w:rsidRPr="00681BDC" w:rsidRDefault="00681BDC" w:rsidP="00681BDC">
      <w:pPr>
        <w:jc w:val="both"/>
        <w:rPr>
          <w:rFonts w:ascii="Arial" w:hAnsi="Arial" w:cs="Arial"/>
          <w:sz w:val="20"/>
          <w:szCs w:val="20"/>
        </w:rPr>
      </w:pPr>
      <w:r w:rsidRPr="00681BDC">
        <w:rPr>
          <w:rFonts w:ascii="Arial" w:hAnsi="Arial" w:cs="Arial"/>
          <w:sz w:val="20"/>
          <w:szCs w:val="20"/>
        </w:rPr>
        <w:t>Nelle pagine seguenti si procede alla valutazione:</w:t>
      </w:r>
    </w:p>
    <w:p w:rsidR="00681BDC" w:rsidRPr="00681BDC" w:rsidRDefault="00681BDC" w:rsidP="00681BDC">
      <w:pPr>
        <w:jc w:val="both"/>
        <w:rPr>
          <w:rFonts w:ascii="Arial" w:hAnsi="Arial" w:cs="Arial"/>
          <w:sz w:val="20"/>
          <w:szCs w:val="20"/>
        </w:rPr>
      </w:pPr>
      <w:r w:rsidRPr="00681BDC">
        <w:rPr>
          <w:rFonts w:ascii="Arial" w:hAnsi="Arial" w:cs="Arial"/>
          <w:sz w:val="20"/>
          <w:szCs w:val="20"/>
        </w:rPr>
        <w:t>- dell’aspetto patrimoniale del bilancio consolidato comunale;</w:t>
      </w:r>
    </w:p>
    <w:p w:rsidR="00681BDC" w:rsidRPr="00681BDC" w:rsidRDefault="00681BDC" w:rsidP="00681BDC">
      <w:pPr>
        <w:jc w:val="both"/>
        <w:rPr>
          <w:rFonts w:ascii="Arial" w:hAnsi="Arial" w:cs="Arial"/>
          <w:sz w:val="20"/>
          <w:szCs w:val="20"/>
        </w:rPr>
      </w:pPr>
      <w:r w:rsidRPr="00681BDC">
        <w:rPr>
          <w:rFonts w:ascii="Arial" w:hAnsi="Arial" w:cs="Arial"/>
          <w:sz w:val="20"/>
          <w:szCs w:val="20"/>
        </w:rPr>
        <w:t>- dell’aspetto economico, in cui si evidenzieranno i risultati in un’ottica di competenza economica attraverso la</w:t>
      </w:r>
      <w:r>
        <w:rPr>
          <w:rFonts w:ascii="Arial" w:hAnsi="Arial" w:cs="Arial"/>
          <w:sz w:val="20"/>
          <w:szCs w:val="20"/>
        </w:rPr>
        <w:t xml:space="preserve"> </w:t>
      </w:r>
      <w:r w:rsidRPr="00681BDC">
        <w:rPr>
          <w:rFonts w:ascii="Arial" w:hAnsi="Arial" w:cs="Arial"/>
          <w:sz w:val="20"/>
          <w:szCs w:val="20"/>
        </w:rPr>
        <w:t>presentazione e scomposizione delle varie componenti del risultato economico.</w:t>
      </w:r>
    </w:p>
    <w:p w:rsidR="00681BDC" w:rsidRPr="00681BDC" w:rsidRDefault="00681BDC" w:rsidP="00681BDC">
      <w:pPr>
        <w:jc w:val="both"/>
        <w:rPr>
          <w:rFonts w:ascii="Arial" w:hAnsi="Arial" w:cs="Arial"/>
          <w:b/>
          <w:bCs/>
          <w:sz w:val="20"/>
          <w:szCs w:val="20"/>
        </w:rPr>
      </w:pPr>
      <w:r w:rsidRPr="00681BDC">
        <w:rPr>
          <w:rFonts w:ascii="Arial" w:hAnsi="Arial" w:cs="Arial"/>
          <w:b/>
          <w:bCs/>
          <w:sz w:val="20"/>
          <w:szCs w:val="20"/>
        </w:rPr>
        <w:t>IL CONTO ECONOMICO – IL RISULTATO ECONOMICO DELL’ESERCIZIO</w:t>
      </w:r>
    </w:p>
    <w:p w:rsidR="00681BDC" w:rsidRPr="00681BDC" w:rsidRDefault="00681BDC" w:rsidP="00681BDC">
      <w:pPr>
        <w:jc w:val="both"/>
        <w:rPr>
          <w:rFonts w:ascii="Arial" w:hAnsi="Arial" w:cs="Arial"/>
          <w:sz w:val="20"/>
          <w:szCs w:val="20"/>
        </w:rPr>
      </w:pPr>
      <w:r w:rsidRPr="00681BDC">
        <w:rPr>
          <w:rFonts w:ascii="Arial" w:hAnsi="Arial" w:cs="Arial"/>
          <w:sz w:val="20"/>
          <w:szCs w:val="20"/>
        </w:rPr>
        <w:t xml:space="preserve">Il risultato economico rappresenta il valore di sintesi dell’intera gestione economica del gruppo ente locale cosi </w:t>
      </w:r>
      <w:r>
        <w:rPr>
          <w:rFonts w:ascii="Arial" w:hAnsi="Arial" w:cs="Arial"/>
          <w:sz w:val="20"/>
          <w:szCs w:val="20"/>
        </w:rPr>
        <w:t xml:space="preserve"> c</w:t>
      </w:r>
      <w:r w:rsidRPr="00681BDC">
        <w:rPr>
          <w:rFonts w:ascii="Arial" w:hAnsi="Arial" w:cs="Arial"/>
          <w:sz w:val="20"/>
          <w:szCs w:val="20"/>
        </w:rPr>
        <w:t>ome</w:t>
      </w:r>
      <w:r>
        <w:rPr>
          <w:rFonts w:ascii="Arial" w:hAnsi="Arial" w:cs="Arial"/>
          <w:sz w:val="20"/>
          <w:szCs w:val="20"/>
        </w:rPr>
        <w:t xml:space="preserve"> </w:t>
      </w:r>
      <w:r w:rsidRPr="00681BDC">
        <w:rPr>
          <w:rFonts w:ascii="Arial" w:hAnsi="Arial" w:cs="Arial"/>
          <w:sz w:val="20"/>
          <w:szCs w:val="20"/>
        </w:rPr>
        <w:t>risultante dal conto economico. Il risultato d’esercizio riferito all’anno 201</w:t>
      </w:r>
      <w:r>
        <w:rPr>
          <w:rFonts w:ascii="Arial" w:hAnsi="Arial" w:cs="Arial"/>
          <w:sz w:val="20"/>
          <w:szCs w:val="20"/>
        </w:rPr>
        <w:t>5</w:t>
      </w:r>
      <w:r w:rsidRPr="00681BDC">
        <w:rPr>
          <w:rFonts w:ascii="Arial" w:hAnsi="Arial" w:cs="Arial"/>
          <w:sz w:val="20"/>
          <w:szCs w:val="20"/>
        </w:rPr>
        <w:t xml:space="preserve"> per il gruppo comunale si chiude secondo le</w:t>
      </w:r>
      <w:r>
        <w:rPr>
          <w:rFonts w:ascii="Arial" w:hAnsi="Arial" w:cs="Arial"/>
          <w:sz w:val="20"/>
          <w:szCs w:val="20"/>
        </w:rPr>
        <w:t xml:space="preserve"> </w:t>
      </w:r>
      <w:r w:rsidRPr="00681BDC">
        <w:rPr>
          <w:rFonts w:ascii="Arial" w:hAnsi="Arial" w:cs="Arial"/>
          <w:sz w:val="20"/>
          <w:szCs w:val="20"/>
        </w:rPr>
        <w:t>risultanze contabili riportate nella tabella sottostante:</w:t>
      </w:r>
    </w:p>
    <w:tbl>
      <w:tblPr>
        <w:tblStyle w:val="Grigliatabella"/>
        <w:tblW w:w="0" w:type="auto"/>
        <w:tblLook w:val="04A0" w:firstRow="1" w:lastRow="0" w:firstColumn="1" w:lastColumn="0" w:noHBand="0" w:noVBand="1"/>
      </w:tblPr>
      <w:tblGrid>
        <w:gridCol w:w="4814"/>
        <w:gridCol w:w="4814"/>
      </w:tblGrid>
      <w:tr w:rsidR="00681BDC" w:rsidTr="00681BDC">
        <w:tc>
          <w:tcPr>
            <w:tcW w:w="4814" w:type="dxa"/>
          </w:tcPr>
          <w:p w:rsidR="00681BDC" w:rsidRDefault="00681BDC" w:rsidP="00681BDC">
            <w:pPr>
              <w:jc w:val="both"/>
              <w:rPr>
                <w:rFonts w:ascii="Arial" w:hAnsi="Arial" w:cs="Arial"/>
                <w:sz w:val="20"/>
                <w:szCs w:val="20"/>
              </w:rPr>
            </w:pPr>
            <w:r>
              <w:rPr>
                <w:rFonts w:ascii="Arial" w:hAnsi="Arial" w:cs="Arial"/>
                <w:sz w:val="20"/>
                <w:szCs w:val="20"/>
              </w:rPr>
              <w:t>GESTIONE</w:t>
            </w:r>
          </w:p>
        </w:tc>
        <w:tc>
          <w:tcPr>
            <w:tcW w:w="4814" w:type="dxa"/>
          </w:tcPr>
          <w:p w:rsidR="00681BDC" w:rsidRDefault="00681BDC" w:rsidP="00681BDC">
            <w:pPr>
              <w:jc w:val="both"/>
              <w:rPr>
                <w:rFonts w:ascii="Arial" w:hAnsi="Arial" w:cs="Arial"/>
                <w:sz w:val="20"/>
                <w:szCs w:val="20"/>
              </w:rPr>
            </w:pPr>
            <w:r>
              <w:rPr>
                <w:rFonts w:ascii="Arial" w:hAnsi="Arial" w:cs="Arial"/>
                <w:sz w:val="20"/>
                <w:szCs w:val="20"/>
              </w:rPr>
              <w:t>IMPORTO</w:t>
            </w:r>
          </w:p>
        </w:tc>
      </w:tr>
      <w:tr w:rsidR="00681BDC" w:rsidTr="00681BDC">
        <w:tc>
          <w:tcPr>
            <w:tcW w:w="4814" w:type="dxa"/>
          </w:tcPr>
          <w:p w:rsidR="00681BDC" w:rsidRDefault="00681BDC" w:rsidP="00681BDC">
            <w:pPr>
              <w:jc w:val="both"/>
              <w:rPr>
                <w:rFonts w:ascii="Arial" w:hAnsi="Arial" w:cs="Arial"/>
                <w:sz w:val="20"/>
                <w:szCs w:val="20"/>
              </w:rPr>
            </w:pPr>
            <w:r>
              <w:rPr>
                <w:rFonts w:ascii="Arial" w:hAnsi="Arial" w:cs="Arial"/>
                <w:sz w:val="20"/>
                <w:szCs w:val="20"/>
              </w:rPr>
              <w:t>Risultato di gestione</w:t>
            </w:r>
          </w:p>
        </w:tc>
        <w:tc>
          <w:tcPr>
            <w:tcW w:w="4814" w:type="dxa"/>
          </w:tcPr>
          <w:p w:rsidR="00681BDC" w:rsidRDefault="00681BDC" w:rsidP="00681BDC">
            <w:pPr>
              <w:jc w:val="right"/>
              <w:rPr>
                <w:rFonts w:ascii="Arial" w:hAnsi="Arial" w:cs="Arial"/>
                <w:sz w:val="20"/>
                <w:szCs w:val="20"/>
              </w:rPr>
            </w:pPr>
            <w:r>
              <w:rPr>
                <w:rFonts w:ascii="Arial" w:hAnsi="Arial" w:cs="Arial"/>
                <w:sz w:val="20"/>
                <w:szCs w:val="20"/>
              </w:rPr>
              <w:t>3.473.213</w:t>
            </w:r>
          </w:p>
        </w:tc>
      </w:tr>
      <w:tr w:rsidR="00681BDC" w:rsidTr="00681BDC">
        <w:tc>
          <w:tcPr>
            <w:tcW w:w="4814" w:type="dxa"/>
          </w:tcPr>
          <w:p w:rsidR="00681BDC" w:rsidRDefault="00681BDC" w:rsidP="00681BDC">
            <w:pPr>
              <w:jc w:val="both"/>
              <w:rPr>
                <w:rFonts w:ascii="Arial" w:hAnsi="Arial" w:cs="Arial"/>
                <w:sz w:val="20"/>
                <w:szCs w:val="20"/>
              </w:rPr>
            </w:pPr>
            <w:r>
              <w:rPr>
                <w:rFonts w:ascii="Arial" w:hAnsi="Arial" w:cs="Arial"/>
                <w:sz w:val="20"/>
                <w:szCs w:val="20"/>
              </w:rPr>
              <w:t>Proventi e oneri finanziari</w:t>
            </w:r>
          </w:p>
        </w:tc>
        <w:tc>
          <w:tcPr>
            <w:tcW w:w="4814" w:type="dxa"/>
          </w:tcPr>
          <w:p w:rsidR="00681BDC" w:rsidRDefault="00681BDC" w:rsidP="00681BDC">
            <w:pPr>
              <w:jc w:val="right"/>
              <w:rPr>
                <w:rFonts w:ascii="Arial" w:hAnsi="Arial" w:cs="Arial"/>
                <w:sz w:val="20"/>
                <w:szCs w:val="20"/>
              </w:rPr>
            </w:pPr>
            <w:r>
              <w:rPr>
                <w:rFonts w:ascii="Arial" w:hAnsi="Arial" w:cs="Arial"/>
                <w:sz w:val="20"/>
                <w:szCs w:val="20"/>
              </w:rPr>
              <w:t>128.681</w:t>
            </w:r>
          </w:p>
        </w:tc>
      </w:tr>
      <w:tr w:rsidR="00681BDC" w:rsidTr="00681BDC">
        <w:tc>
          <w:tcPr>
            <w:tcW w:w="4814" w:type="dxa"/>
          </w:tcPr>
          <w:p w:rsidR="00681BDC" w:rsidRDefault="00681BDC" w:rsidP="00681BDC">
            <w:pPr>
              <w:jc w:val="both"/>
              <w:rPr>
                <w:rFonts w:ascii="Arial" w:hAnsi="Arial" w:cs="Arial"/>
                <w:sz w:val="20"/>
                <w:szCs w:val="20"/>
              </w:rPr>
            </w:pPr>
            <w:r>
              <w:rPr>
                <w:rFonts w:ascii="Arial" w:hAnsi="Arial" w:cs="Arial"/>
                <w:sz w:val="20"/>
                <w:szCs w:val="20"/>
              </w:rPr>
              <w:t>Proventi e oneri straordinari</w:t>
            </w:r>
          </w:p>
        </w:tc>
        <w:tc>
          <w:tcPr>
            <w:tcW w:w="4814" w:type="dxa"/>
          </w:tcPr>
          <w:p w:rsidR="00681BDC" w:rsidRDefault="00681BDC" w:rsidP="00681BDC">
            <w:pPr>
              <w:jc w:val="right"/>
              <w:rPr>
                <w:rFonts w:ascii="Arial" w:hAnsi="Arial" w:cs="Arial"/>
                <w:sz w:val="20"/>
                <w:szCs w:val="20"/>
              </w:rPr>
            </w:pPr>
            <w:r>
              <w:rPr>
                <w:rFonts w:ascii="Arial" w:hAnsi="Arial" w:cs="Arial"/>
                <w:sz w:val="20"/>
                <w:szCs w:val="20"/>
              </w:rPr>
              <w:t>62.454</w:t>
            </w:r>
          </w:p>
        </w:tc>
      </w:tr>
      <w:tr w:rsidR="00681BDC" w:rsidTr="00681BDC">
        <w:tc>
          <w:tcPr>
            <w:tcW w:w="4814" w:type="dxa"/>
          </w:tcPr>
          <w:p w:rsidR="00681BDC" w:rsidRDefault="00681BDC" w:rsidP="00681BDC">
            <w:pPr>
              <w:jc w:val="both"/>
              <w:rPr>
                <w:rFonts w:ascii="Arial" w:hAnsi="Arial" w:cs="Arial"/>
                <w:sz w:val="20"/>
                <w:szCs w:val="20"/>
              </w:rPr>
            </w:pPr>
            <w:r>
              <w:rPr>
                <w:rFonts w:ascii="Arial" w:hAnsi="Arial" w:cs="Arial"/>
                <w:sz w:val="20"/>
                <w:szCs w:val="20"/>
              </w:rPr>
              <w:t>Risultato economico d’esercizio</w:t>
            </w:r>
          </w:p>
        </w:tc>
        <w:tc>
          <w:tcPr>
            <w:tcW w:w="4814" w:type="dxa"/>
          </w:tcPr>
          <w:p w:rsidR="00681BDC" w:rsidRDefault="00681BDC" w:rsidP="00681BDC">
            <w:pPr>
              <w:jc w:val="right"/>
              <w:rPr>
                <w:rFonts w:ascii="Arial" w:hAnsi="Arial" w:cs="Arial"/>
                <w:sz w:val="20"/>
                <w:szCs w:val="20"/>
              </w:rPr>
            </w:pPr>
            <w:r>
              <w:rPr>
                <w:rFonts w:ascii="Arial" w:hAnsi="Arial" w:cs="Arial"/>
                <w:sz w:val="20"/>
                <w:szCs w:val="20"/>
              </w:rPr>
              <w:t>146.415</w:t>
            </w:r>
          </w:p>
        </w:tc>
      </w:tr>
    </w:tbl>
    <w:p w:rsidR="00681BDC" w:rsidRDefault="00681BDC" w:rsidP="00681BDC">
      <w:pPr>
        <w:jc w:val="both"/>
        <w:rPr>
          <w:rFonts w:ascii="Arial" w:hAnsi="Arial" w:cs="Arial"/>
          <w:sz w:val="20"/>
          <w:szCs w:val="20"/>
        </w:rPr>
      </w:pPr>
    </w:p>
    <w:p w:rsidR="00681BDC" w:rsidRPr="00681BDC" w:rsidRDefault="00681BDC" w:rsidP="00681BDC">
      <w:pPr>
        <w:jc w:val="both"/>
        <w:rPr>
          <w:rFonts w:ascii="Arial" w:hAnsi="Arial" w:cs="Arial"/>
          <w:sz w:val="20"/>
          <w:szCs w:val="20"/>
        </w:rPr>
      </w:pPr>
      <w:r w:rsidRPr="00681BDC">
        <w:rPr>
          <w:rFonts w:ascii="Arial" w:hAnsi="Arial" w:cs="Arial"/>
          <w:sz w:val="20"/>
          <w:szCs w:val="20"/>
        </w:rPr>
        <w:t>Il risultato della gestione, ottenuto quale differenza tra Proventi della gestione e Costi della gestione, costituisce il primo</w:t>
      </w:r>
      <w:r>
        <w:rPr>
          <w:rFonts w:ascii="Arial" w:hAnsi="Arial" w:cs="Arial"/>
          <w:sz w:val="20"/>
          <w:szCs w:val="20"/>
        </w:rPr>
        <w:t xml:space="preserve"> </w:t>
      </w:r>
      <w:r w:rsidRPr="00681BDC">
        <w:rPr>
          <w:rFonts w:ascii="Arial" w:hAnsi="Arial" w:cs="Arial"/>
          <w:sz w:val="20"/>
          <w:szCs w:val="20"/>
        </w:rPr>
        <w:t>risultato intermedio esposto nel Conto economico. Esso rappresenta il risultato della gestione operativa dell’ente,</w:t>
      </w:r>
      <w:r>
        <w:rPr>
          <w:rFonts w:ascii="Arial" w:hAnsi="Arial" w:cs="Arial"/>
          <w:sz w:val="20"/>
          <w:szCs w:val="20"/>
        </w:rPr>
        <w:t xml:space="preserve"> </w:t>
      </w:r>
      <w:r w:rsidRPr="00681BDC">
        <w:rPr>
          <w:rFonts w:ascii="Arial" w:hAnsi="Arial" w:cs="Arial"/>
          <w:sz w:val="20"/>
          <w:szCs w:val="20"/>
        </w:rPr>
        <w:t>depurato, però, degli effetti relativi alla gestione delle società partecipate.</w:t>
      </w:r>
      <w:r>
        <w:rPr>
          <w:rFonts w:ascii="Arial" w:hAnsi="Arial" w:cs="Arial"/>
          <w:sz w:val="20"/>
          <w:szCs w:val="20"/>
        </w:rPr>
        <w:t xml:space="preserve"> </w:t>
      </w:r>
      <w:r w:rsidRPr="00681BDC">
        <w:rPr>
          <w:rFonts w:ascii="Arial" w:hAnsi="Arial" w:cs="Arial"/>
          <w:sz w:val="20"/>
          <w:szCs w:val="20"/>
        </w:rPr>
        <w:t>Si ottiene sottraendo al totale della voce A) Componenti positivi della gestione, il totale della voce B) Componenti negati</w:t>
      </w:r>
      <w:r>
        <w:rPr>
          <w:rFonts w:ascii="Arial" w:hAnsi="Arial" w:cs="Arial"/>
          <w:sz w:val="20"/>
          <w:szCs w:val="20"/>
        </w:rPr>
        <w:t xml:space="preserve"> </w:t>
      </w:r>
      <w:r w:rsidRPr="00681BDC">
        <w:rPr>
          <w:rFonts w:ascii="Arial" w:hAnsi="Arial" w:cs="Arial"/>
          <w:sz w:val="20"/>
          <w:szCs w:val="20"/>
        </w:rPr>
        <w:t>della gestione.</w:t>
      </w:r>
    </w:p>
    <w:p w:rsidR="00681BDC" w:rsidRPr="00681BDC" w:rsidRDefault="00681BDC" w:rsidP="00681BDC">
      <w:pPr>
        <w:jc w:val="both"/>
        <w:rPr>
          <w:rFonts w:ascii="Arial" w:hAnsi="Arial" w:cs="Arial"/>
          <w:sz w:val="20"/>
          <w:szCs w:val="20"/>
        </w:rPr>
      </w:pPr>
      <w:r w:rsidRPr="00681BDC">
        <w:rPr>
          <w:rFonts w:ascii="Arial" w:hAnsi="Arial" w:cs="Arial"/>
          <w:sz w:val="20"/>
          <w:szCs w:val="20"/>
        </w:rPr>
        <w:t>Il risultato della gestione risulta cos</w:t>
      </w:r>
      <w:r w:rsidR="00565042">
        <w:rPr>
          <w:rFonts w:ascii="Arial" w:hAnsi="Arial" w:cs="Arial"/>
          <w:sz w:val="20"/>
          <w:szCs w:val="20"/>
        </w:rPr>
        <w:t>ì</w:t>
      </w:r>
      <w:r w:rsidRPr="00681BDC">
        <w:rPr>
          <w:rFonts w:ascii="Arial" w:hAnsi="Arial" w:cs="Arial"/>
          <w:sz w:val="20"/>
          <w:szCs w:val="20"/>
        </w:rPr>
        <w:t xml:space="preserve"> determinato:</w:t>
      </w:r>
    </w:p>
    <w:tbl>
      <w:tblPr>
        <w:tblStyle w:val="Grigliatabella"/>
        <w:tblW w:w="9634" w:type="dxa"/>
        <w:tblLook w:val="04A0" w:firstRow="1" w:lastRow="0" w:firstColumn="1" w:lastColumn="0" w:noHBand="0" w:noVBand="1"/>
      </w:tblPr>
      <w:tblGrid>
        <w:gridCol w:w="6880"/>
        <w:gridCol w:w="2754"/>
      </w:tblGrid>
      <w:tr w:rsidR="00167ADD" w:rsidRPr="00167ADD" w:rsidTr="00F92CE4">
        <w:trPr>
          <w:trHeight w:val="300"/>
        </w:trPr>
        <w:tc>
          <w:tcPr>
            <w:tcW w:w="6880" w:type="dxa"/>
            <w:noWrap/>
            <w:hideMark/>
          </w:tcPr>
          <w:p w:rsidR="00167ADD" w:rsidRPr="00167ADD" w:rsidRDefault="00167ADD" w:rsidP="00167ADD">
            <w:pPr>
              <w:jc w:val="both"/>
              <w:rPr>
                <w:rFonts w:ascii="Arial" w:hAnsi="Arial" w:cs="Arial"/>
                <w:b/>
                <w:bCs/>
                <w:sz w:val="20"/>
                <w:szCs w:val="20"/>
                <w:u w:val="single"/>
              </w:rPr>
            </w:pPr>
            <w:r w:rsidRPr="00167ADD">
              <w:rPr>
                <w:rFonts w:ascii="Arial" w:hAnsi="Arial" w:cs="Arial"/>
                <w:b/>
                <w:bCs/>
                <w:sz w:val="20"/>
                <w:szCs w:val="20"/>
                <w:u w:val="single"/>
              </w:rPr>
              <w:t>A) COMPONENTI POSITIVI DELLA GESTIONE</w:t>
            </w:r>
          </w:p>
        </w:tc>
        <w:tc>
          <w:tcPr>
            <w:tcW w:w="2754" w:type="dxa"/>
            <w:noWrap/>
            <w:hideMark/>
          </w:tcPr>
          <w:p w:rsidR="00167ADD" w:rsidRPr="00167ADD" w:rsidRDefault="00167ADD" w:rsidP="00F92CE4">
            <w:pPr>
              <w:jc w:val="right"/>
              <w:rPr>
                <w:rFonts w:ascii="Arial" w:hAnsi="Arial" w:cs="Arial"/>
                <w:b/>
                <w:sz w:val="20"/>
                <w:szCs w:val="20"/>
              </w:rPr>
            </w:pPr>
            <w:r w:rsidRPr="00167ADD">
              <w:rPr>
                <w:rFonts w:ascii="Arial" w:hAnsi="Arial" w:cs="Arial"/>
                <w:b/>
                <w:sz w:val="20"/>
                <w:szCs w:val="20"/>
              </w:rPr>
              <w:t>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sz w:val="20"/>
                <w:szCs w:val="20"/>
              </w:rPr>
            </w:pPr>
            <w:r w:rsidRPr="00167ADD">
              <w:rPr>
                <w:rFonts w:ascii="Arial" w:hAnsi="Arial" w:cs="Arial"/>
                <w:sz w:val="20"/>
                <w:szCs w:val="20"/>
              </w:rPr>
              <w:t>Proventi da tributi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1.737.086,87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sz w:val="20"/>
                <w:szCs w:val="20"/>
              </w:rPr>
            </w:pPr>
            <w:r w:rsidRPr="00167ADD">
              <w:rPr>
                <w:rFonts w:ascii="Arial" w:hAnsi="Arial" w:cs="Arial"/>
                <w:sz w:val="20"/>
                <w:szCs w:val="20"/>
              </w:rPr>
              <w:t xml:space="preserve">Proventi da fondi perequativi </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330.534,81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bCs/>
                <w:sz w:val="20"/>
                <w:szCs w:val="20"/>
              </w:rPr>
            </w:pPr>
            <w:r w:rsidRPr="00167ADD">
              <w:rPr>
                <w:rFonts w:ascii="Arial" w:hAnsi="Arial" w:cs="Arial"/>
                <w:bCs/>
                <w:sz w:val="20"/>
                <w:szCs w:val="20"/>
              </w:rPr>
              <w:t>Proventi da trasferimenti e contributi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351.776,22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i/>
                <w:iCs/>
                <w:sz w:val="20"/>
                <w:szCs w:val="20"/>
              </w:rPr>
            </w:pPr>
            <w:r w:rsidRPr="00167ADD">
              <w:rPr>
                <w:rFonts w:ascii="Arial" w:hAnsi="Arial" w:cs="Arial"/>
                <w:i/>
                <w:iCs/>
                <w:sz w:val="20"/>
                <w:szCs w:val="20"/>
              </w:rPr>
              <w:t>Proventi da trasferimenti correnti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162.101,76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i/>
                <w:iCs/>
                <w:sz w:val="20"/>
                <w:szCs w:val="20"/>
              </w:rPr>
            </w:pPr>
            <w:r w:rsidRPr="00167ADD">
              <w:rPr>
                <w:rFonts w:ascii="Arial" w:hAnsi="Arial" w:cs="Arial"/>
                <w:i/>
                <w:iCs/>
                <w:sz w:val="20"/>
                <w:szCs w:val="20"/>
              </w:rPr>
              <w:t>Quota annuale di contributi agli investimenti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189.674,46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i/>
                <w:iCs/>
                <w:sz w:val="20"/>
                <w:szCs w:val="20"/>
              </w:rPr>
            </w:pPr>
            <w:r w:rsidRPr="00167ADD">
              <w:rPr>
                <w:rFonts w:ascii="Arial" w:hAnsi="Arial" w:cs="Arial"/>
                <w:i/>
                <w:iCs/>
                <w:sz w:val="20"/>
                <w:szCs w:val="20"/>
              </w:rPr>
              <w:t>Contributi agli investimenti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bCs/>
                <w:sz w:val="20"/>
                <w:szCs w:val="20"/>
              </w:rPr>
            </w:pPr>
            <w:r w:rsidRPr="00167ADD">
              <w:rPr>
                <w:rFonts w:ascii="Arial" w:hAnsi="Arial" w:cs="Arial"/>
                <w:bCs/>
                <w:sz w:val="20"/>
                <w:szCs w:val="20"/>
              </w:rPr>
              <w:t>Ricavi delle vendite e prestazioni e proventi da servizi pubblici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160.841,19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i/>
                <w:iCs/>
                <w:sz w:val="20"/>
                <w:szCs w:val="20"/>
              </w:rPr>
            </w:pPr>
            <w:r w:rsidRPr="00167ADD">
              <w:rPr>
                <w:rFonts w:ascii="Arial" w:hAnsi="Arial" w:cs="Arial"/>
                <w:i/>
                <w:iCs/>
                <w:sz w:val="20"/>
                <w:szCs w:val="20"/>
              </w:rPr>
              <w:lastRenderedPageBreak/>
              <w:t>Proventi derivanti dalla gestione dei beni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76.361,22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i/>
                <w:iCs/>
                <w:sz w:val="20"/>
                <w:szCs w:val="20"/>
              </w:rPr>
            </w:pPr>
            <w:r w:rsidRPr="00167ADD">
              <w:rPr>
                <w:rFonts w:ascii="Arial" w:hAnsi="Arial" w:cs="Arial"/>
                <w:i/>
                <w:iCs/>
                <w:sz w:val="20"/>
                <w:szCs w:val="20"/>
              </w:rPr>
              <w:t>Ricavi della vendita di beni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i/>
                <w:iCs/>
                <w:sz w:val="20"/>
                <w:szCs w:val="20"/>
              </w:rPr>
            </w:pPr>
            <w:r w:rsidRPr="00167ADD">
              <w:rPr>
                <w:rFonts w:ascii="Arial" w:hAnsi="Arial" w:cs="Arial"/>
                <w:i/>
                <w:iCs/>
                <w:sz w:val="20"/>
                <w:szCs w:val="20"/>
              </w:rPr>
              <w:t>Ricavi e proventi dalla prestazione di servizi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597.661,41 </w:t>
            </w:r>
          </w:p>
        </w:tc>
      </w:tr>
      <w:tr w:rsidR="00167ADD" w:rsidRPr="00167ADD" w:rsidTr="00F92CE4">
        <w:trPr>
          <w:trHeight w:val="285"/>
        </w:trPr>
        <w:tc>
          <w:tcPr>
            <w:tcW w:w="6880" w:type="dxa"/>
            <w:hideMark/>
          </w:tcPr>
          <w:p w:rsidR="00167ADD" w:rsidRPr="00167ADD" w:rsidRDefault="00167ADD" w:rsidP="00167ADD">
            <w:pPr>
              <w:jc w:val="both"/>
              <w:rPr>
                <w:rFonts w:ascii="Arial" w:hAnsi="Arial" w:cs="Arial"/>
                <w:sz w:val="20"/>
                <w:szCs w:val="20"/>
              </w:rPr>
            </w:pPr>
            <w:r w:rsidRPr="00167ADD">
              <w:rPr>
                <w:rFonts w:ascii="Arial" w:hAnsi="Arial" w:cs="Arial"/>
                <w:sz w:val="20"/>
                <w:szCs w:val="20"/>
              </w:rPr>
              <w:t>Variazioni nelle rimanenze di prodotti in corso di lavorazione, etc. (+/-)</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   </w:t>
            </w:r>
          </w:p>
        </w:tc>
      </w:tr>
      <w:tr w:rsidR="00167ADD" w:rsidRPr="00167ADD" w:rsidTr="00F92CE4">
        <w:trPr>
          <w:trHeight w:val="300"/>
        </w:trPr>
        <w:tc>
          <w:tcPr>
            <w:tcW w:w="6880" w:type="dxa"/>
            <w:hideMark/>
          </w:tcPr>
          <w:p w:rsidR="00167ADD" w:rsidRPr="00167ADD" w:rsidRDefault="00167ADD" w:rsidP="00167ADD">
            <w:pPr>
              <w:jc w:val="both"/>
              <w:rPr>
                <w:rFonts w:ascii="Arial" w:hAnsi="Arial" w:cs="Arial"/>
                <w:sz w:val="20"/>
                <w:szCs w:val="20"/>
              </w:rPr>
            </w:pPr>
            <w:r w:rsidRPr="00167ADD">
              <w:rPr>
                <w:rFonts w:ascii="Arial" w:hAnsi="Arial" w:cs="Arial"/>
                <w:sz w:val="20"/>
                <w:szCs w:val="20"/>
              </w:rPr>
              <w:t>Variazione dei lavori in corso su ordinazione</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774,05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sz w:val="20"/>
                <w:szCs w:val="20"/>
              </w:rPr>
            </w:pPr>
            <w:r w:rsidRPr="00167ADD">
              <w:rPr>
                <w:rFonts w:ascii="Arial" w:hAnsi="Arial" w:cs="Arial"/>
                <w:sz w:val="20"/>
                <w:szCs w:val="20"/>
              </w:rPr>
              <w:t>Incrementi di immobilizzazioni per lavori interni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4.923,87 </w:t>
            </w:r>
          </w:p>
        </w:tc>
      </w:tr>
      <w:tr w:rsidR="00167ADD" w:rsidRPr="00167ADD" w:rsidTr="00F92CE4">
        <w:trPr>
          <w:trHeight w:val="315"/>
        </w:trPr>
        <w:tc>
          <w:tcPr>
            <w:tcW w:w="6880" w:type="dxa"/>
            <w:noWrap/>
            <w:hideMark/>
          </w:tcPr>
          <w:p w:rsidR="00167ADD" w:rsidRPr="00167ADD" w:rsidRDefault="00167ADD" w:rsidP="00167ADD">
            <w:pPr>
              <w:jc w:val="both"/>
              <w:rPr>
                <w:rFonts w:ascii="Arial" w:hAnsi="Arial" w:cs="Arial"/>
                <w:sz w:val="20"/>
                <w:szCs w:val="20"/>
              </w:rPr>
            </w:pPr>
            <w:r w:rsidRPr="00167ADD">
              <w:rPr>
                <w:rFonts w:ascii="Arial" w:hAnsi="Arial" w:cs="Arial"/>
                <w:sz w:val="20"/>
                <w:szCs w:val="20"/>
              </w:rPr>
              <w:t>Altri ricavi e proventi diversi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374.095,03 </w:t>
            </w:r>
          </w:p>
        </w:tc>
      </w:tr>
      <w:tr w:rsidR="00167ADD" w:rsidRPr="00167ADD" w:rsidTr="00F92CE4">
        <w:trPr>
          <w:trHeight w:val="315"/>
        </w:trPr>
        <w:tc>
          <w:tcPr>
            <w:tcW w:w="6880" w:type="dxa"/>
            <w:noWrap/>
            <w:hideMark/>
          </w:tcPr>
          <w:p w:rsidR="00167ADD" w:rsidRPr="00F92CE4" w:rsidRDefault="00167ADD" w:rsidP="00167ADD">
            <w:pPr>
              <w:jc w:val="both"/>
              <w:rPr>
                <w:rFonts w:ascii="Arial" w:hAnsi="Arial" w:cs="Arial"/>
                <w:b/>
                <w:bCs/>
                <w:sz w:val="20"/>
                <w:szCs w:val="20"/>
              </w:rPr>
            </w:pPr>
            <w:r w:rsidRPr="00F92CE4">
              <w:rPr>
                <w:rFonts w:ascii="Arial" w:hAnsi="Arial" w:cs="Arial"/>
                <w:b/>
                <w:bCs/>
                <w:sz w:val="20"/>
                <w:szCs w:val="20"/>
              </w:rPr>
              <w:t>TOTALE COMPONENTI POSITIVI DELLA GESTIONE (A)</w:t>
            </w:r>
          </w:p>
        </w:tc>
        <w:tc>
          <w:tcPr>
            <w:tcW w:w="2754" w:type="dxa"/>
            <w:noWrap/>
            <w:hideMark/>
          </w:tcPr>
          <w:p w:rsidR="00167ADD" w:rsidRPr="00167ADD" w:rsidRDefault="00167ADD" w:rsidP="00F92CE4">
            <w:pPr>
              <w:jc w:val="right"/>
              <w:rPr>
                <w:rFonts w:ascii="Arial" w:hAnsi="Arial" w:cs="Arial"/>
                <w:bCs/>
                <w:sz w:val="20"/>
                <w:szCs w:val="20"/>
              </w:rPr>
            </w:pPr>
            <w:r w:rsidRPr="00167ADD">
              <w:rPr>
                <w:rFonts w:ascii="Arial" w:hAnsi="Arial" w:cs="Arial"/>
                <w:bCs/>
                <w:sz w:val="20"/>
                <w:szCs w:val="20"/>
              </w:rPr>
              <w:t xml:space="preserve">        3.473.213,48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bCs/>
                <w:sz w:val="20"/>
                <w:szCs w:val="20"/>
              </w:rPr>
            </w:pP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b/>
                <w:bCs/>
                <w:sz w:val="20"/>
                <w:szCs w:val="20"/>
                <w:u w:val="single"/>
              </w:rPr>
            </w:pPr>
            <w:r w:rsidRPr="00167ADD">
              <w:rPr>
                <w:rFonts w:ascii="Arial" w:hAnsi="Arial" w:cs="Arial"/>
                <w:b/>
                <w:bCs/>
                <w:sz w:val="20"/>
                <w:szCs w:val="20"/>
                <w:u w:val="single"/>
              </w:rPr>
              <w:t>B) COMPONENTI NEGATIVI DELLA GESTIONE</w:t>
            </w:r>
          </w:p>
        </w:tc>
        <w:tc>
          <w:tcPr>
            <w:tcW w:w="2754" w:type="dxa"/>
            <w:noWrap/>
            <w:hideMark/>
          </w:tcPr>
          <w:p w:rsidR="00167ADD" w:rsidRPr="00167ADD" w:rsidRDefault="00167ADD" w:rsidP="00F92CE4">
            <w:pPr>
              <w:jc w:val="right"/>
              <w:rPr>
                <w:rFonts w:ascii="Arial" w:hAnsi="Arial" w:cs="Arial"/>
                <w:b/>
                <w:sz w:val="20"/>
                <w:szCs w:val="20"/>
              </w:rPr>
            </w:pPr>
            <w:r w:rsidRPr="00167ADD">
              <w:rPr>
                <w:rFonts w:ascii="Arial" w:hAnsi="Arial" w:cs="Arial"/>
                <w:b/>
                <w:sz w:val="20"/>
                <w:szCs w:val="20"/>
              </w:rPr>
              <w:t> </w:t>
            </w:r>
          </w:p>
        </w:tc>
      </w:tr>
      <w:tr w:rsidR="00167ADD" w:rsidRPr="00167ADD" w:rsidTr="00F92CE4">
        <w:trPr>
          <w:trHeight w:val="300"/>
        </w:trPr>
        <w:tc>
          <w:tcPr>
            <w:tcW w:w="6880" w:type="dxa"/>
            <w:hideMark/>
          </w:tcPr>
          <w:p w:rsidR="00167ADD" w:rsidRPr="00167ADD" w:rsidRDefault="00167ADD" w:rsidP="00167ADD">
            <w:pPr>
              <w:jc w:val="both"/>
              <w:rPr>
                <w:rFonts w:ascii="Arial" w:hAnsi="Arial" w:cs="Arial"/>
                <w:sz w:val="20"/>
                <w:szCs w:val="20"/>
              </w:rPr>
            </w:pPr>
            <w:r w:rsidRPr="00167ADD">
              <w:rPr>
                <w:rFonts w:ascii="Arial" w:hAnsi="Arial" w:cs="Arial"/>
                <w:sz w:val="20"/>
                <w:szCs w:val="20"/>
              </w:rPr>
              <w:t>Acquisto di materie prime e/o beni di consumo</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135.383,07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sz w:val="20"/>
                <w:szCs w:val="20"/>
              </w:rPr>
            </w:pPr>
            <w:r w:rsidRPr="00167ADD">
              <w:rPr>
                <w:rFonts w:ascii="Arial" w:hAnsi="Arial" w:cs="Arial"/>
                <w:sz w:val="20"/>
                <w:szCs w:val="20"/>
              </w:rPr>
              <w:t xml:space="preserve">Prestazioni di servizi </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1.260.138,81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sz w:val="20"/>
                <w:szCs w:val="20"/>
              </w:rPr>
            </w:pPr>
            <w:r w:rsidRPr="00167ADD">
              <w:rPr>
                <w:rFonts w:ascii="Arial" w:hAnsi="Arial" w:cs="Arial"/>
                <w:sz w:val="20"/>
                <w:szCs w:val="20"/>
              </w:rPr>
              <w:t>Utilizzo  beni di terzi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10.653,17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sz w:val="20"/>
                <w:szCs w:val="20"/>
              </w:rPr>
            </w:pPr>
            <w:r w:rsidRPr="00167ADD">
              <w:rPr>
                <w:rFonts w:ascii="Arial" w:hAnsi="Arial" w:cs="Arial"/>
                <w:sz w:val="20"/>
                <w:szCs w:val="20"/>
              </w:rPr>
              <w:t>Trasferimenti e contributi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424.650,25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i/>
                <w:iCs/>
                <w:sz w:val="20"/>
                <w:szCs w:val="20"/>
              </w:rPr>
            </w:pPr>
            <w:r w:rsidRPr="00167ADD">
              <w:rPr>
                <w:rFonts w:ascii="Arial" w:hAnsi="Arial" w:cs="Arial"/>
                <w:i/>
                <w:iCs/>
                <w:sz w:val="20"/>
                <w:szCs w:val="20"/>
              </w:rPr>
              <w:t>Trasferimenti correnti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424.650,25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i/>
                <w:iCs/>
                <w:sz w:val="20"/>
                <w:szCs w:val="20"/>
              </w:rPr>
            </w:pPr>
            <w:r w:rsidRPr="00167ADD">
              <w:rPr>
                <w:rFonts w:ascii="Arial" w:hAnsi="Arial" w:cs="Arial"/>
                <w:i/>
                <w:iCs/>
                <w:sz w:val="20"/>
                <w:szCs w:val="20"/>
              </w:rPr>
              <w:t>Contributi agli investimenti ad Amministrazioni pubb.</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i/>
                <w:iCs/>
                <w:sz w:val="20"/>
                <w:szCs w:val="20"/>
              </w:rPr>
            </w:pPr>
            <w:r w:rsidRPr="00167ADD">
              <w:rPr>
                <w:rFonts w:ascii="Arial" w:hAnsi="Arial" w:cs="Arial"/>
                <w:i/>
                <w:iCs/>
                <w:sz w:val="20"/>
                <w:szCs w:val="20"/>
              </w:rPr>
              <w:t>Contributi agli investimenti ad altri soggetti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sz w:val="20"/>
                <w:szCs w:val="20"/>
              </w:rPr>
            </w:pPr>
            <w:r w:rsidRPr="00167ADD">
              <w:rPr>
                <w:rFonts w:ascii="Arial" w:hAnsi="Arial" w:cs="Arial"/>
                <w:sz w:val="20"/>
                <w:szCs w:val="20"/>
              </w:rPr>
              <w:t>Personale</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799.553,86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sz w:val="20"/>
                <w:szCs w:val="20"/>
              </w:rPr>
            </w:pPr>
            <w:r w:rsidRPr="00167ADD">
              <w:rPr>
                <w:rFonts w:ascii="Arial" w:hAnsi="Arial" w:cs="Arial"/>
                <w:sz w:val="20"/>
                <w:szCs w:val="20"/>
              </w:rPr>
              <w:t>Ammortamenti e svalutazioni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606.198,47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i/>
                <w:iCs/>
                <w:sz w:val="20"/>
                <w:szCs w:val="20"/>
              </w:rPr>
            </w:pPr>
            <w:r w:rsidRPr="00167ADD">
              <w:rPr>
                <w:rFonts w:ascii="Arial" w:hAnsi="Arial" w:cs="Arial"/>
                <w:i/>
                <w:iCs/>
                <w:sz w:val="20"/>
                <w:szCs w:val="20"/>
              </w:rPr>
              <w:t>Ammortamenti di immobilizzazioni Immateriali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10.867,94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i/>
                <w:iCs/>
                <w:sz w:val="20"/>
                <w:szCs w:val="20"/>
              </w:rPr>
            </w:pPr>
            <w:r w:rsidRPr="00167ADD">
              <w:rPr>
                <w:rFonts w:ascii="Arial" w:hAnsi="Arial" w:cs="Arial"/>
                <w:i/>
                <w:iCs/>
                <w:sz w:val="20"/>
                <w:szCs w:val="20"/>
              </w:rPr>
              <w:t>Ammortamenti di immobilizzazioni materiali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627.810,94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i/>
                <w:iCs/>
                <w:sz w:val="20"/>
                <w:szCs w:val="20"/>
              </w:rPr>
            </w:pPr>
            <w:r w:rsidRPr="00167ADD">
              <w:rPr>
                <w:rFonts w:ascii="Arial" w:hAnsi="Arial" w:cs="Arial"/>
                <w:i/>
                <w:iCs/>
                <w:sz w:val="20"/>
                <w:szCs w:val="20"/>
              </w:rPr>
              <w:t>Altre svalutazioni delle immobilizzazioni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   </w:t>
            </w:r>
          </w:p>
        </w:tc>
      </w:tr>
      <w:tr w:rsidR="00167ADD" w:rsidRPr="00167ADD" w:rsidTr="00F92CE4">
        <w:trPr>
          <w:trHeight w:val="300"/>
        </w:trPr>
        <w:tc>
          <w:tcPr>
            <w:tcW w:w="6880" w:type="dxa"/>
            <w:noWrap/>
            <w:hideMark/>
          </w:tcPr>
          <w:p w:rsidR="00167ADD" w:rsidRPr="00167ADD" w:rsidRDefault="00167ADD" w:rsidP="00167ADD">
            <w:pPr>
              <w:jc w:val="both"/>
              <w:rPr>
                <w:rFonts w:ascii="Arial" w:hAnsi="Arial" w:cs="Arial"/>
                <w:i/>
                <w:iCs/>
                <w:sz w:val="20"/>
                <w:szCs w:val="20"/>
              </w:rPr>
            </w:pPr>
            <w:r w:rsidRPr="00167ADD">
              <w:rPr>
                <w:rFonts w:ascii="Arial" w:hAnsi="Arial" w:cs="Arial"/>
                <w:i/>
                <w:iCs/>
                <w:sz w:val="20"/>
                <w:szCs w:val="20"/>
              </w:rPr>
              <w:t>Svalutazione dei crediti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19.478,22 </w:t>
            </w:r>
          </w:p>
        </w:tc>
      </w:tr>
      <w:tr w:rsidR="00167ADD" w:rsidRPr="00167ADD" w:rsidTr="00F92CE4">
        <w:trPr>
          <w:trHeight w:val="300"/>
        </w:trPr>
        <w:tc>
          <w:tcPr>
            <w:tcW w:w="6880" w:type="dxa"/>
            <w:hideMark/>
          </w:tcPr>
          <w:p w:rsidR="00167ADD" w:rsidRPr="00167ADD" w:rsidRDefault="00167ADD" w:rsidP="00167ADD">
            <w:pPr>
              <w:jc w:val="both"/>
              <w:rPr>
                <w:rFonts w:ascii="Arial" w:hAnsi="Arial" w:cs="Arial"/>
                <w:sz w:val="20"/>
                <w:szCs w:val="20"/>
              </w:rPr>
            </w:pPr>
            <w:r w:rsidRPr="00167ADD">
              <w:rPr>
                <w:rFonts w:ascii="Arial" w:hAnsi="Arial" w:cs="Arial"/>
                <w:sz w:val="20"/>
                <w:szCs w:val="20"/>
              </w:rPr>
              <w:t>Variazioni nelle rimanenze di materie prime e/o beni di consumo (+/-)</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1.633,67 </w:t>
            </w:r>
          </w:p>
        </w:tc>
      </w:tr>
      <w:tr w:rsidR="00167ADD" w:rsidRPr="00167ADD" w:rsidTr="00F92CE4">
        <w:trPr>
          <w:trHeight w:val="300"/>
        </w:trPr>
        <w:tc>
          <w:tcPr>
            <w:tcW w:w="6880" w:type="dxa"/>
            <w:hideMark/>
          </w:tcPr>
          <w:p w:rsidR="00167ADD" w:rsidRPr="00167ADD" w:rsidRDefault="00167ADD" w:rsidP="00167ADD">
            <w:pPr>
              <w:jc w:val="both"/>
              <w:rPr>
                <w:rFonts w:ascii="Arial" w:hAnsi="Arial" w:cs="Arial"/>
                <w:sz w:val="20"/>
                <w:szCs w:val="20"/>
              </w:rPr>
            </w:pPr>
            <w:r w:rsidRPr="00167ADD">
              <w:rPr>
                <w:rFonts w:ascii="Arial" w:hAnsi="Arial" w:cs="Arial"/>
                <w:sz w:val="20"/>
                <w:szCs w:val="20"/>
              </w:rPr>
              <w:t>Accantonamenti per rischi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   </w:t>
            </w:r>
          </w:p>
        </w:tc>
      </w:tr>
      <w:tr w:rsidR="00167ADD" w:rsidRPr="00167ADD" w:rsidTr="00F92CE4">
        <w:trPr>
          <w:trHeight w:val="300"/>
        </w:trPr>
        <w:tc>
          <w:tcPr>
            <w:tcW w:w="6880" w:type="dxa"/>
            <w:hideMark/>
          </w:tcPr>
          <w:p w:rsidR="00167ADD" w:rsidRPr="00167ADD" w:rsidRDefault="00167ADD" w:rsidP="00167ADD">
            <w:pPr>
              <w:jc w:val="both"/>
              <w:rPr>
                <w:rFonts w:ascii="Arial" w:hAnsi="Arial" w:cs="Arial"/>
                <w:sz w:val="20"/>
                <w:szCs w:val="20"/>
              </w:rPr>
            </w:pPr>
            <w:r w:rsidRPr="00167ADD">
              <w:rPr>
                <w:rFonts w:ascii="Arial" w:hAnsi="Arial" w:cs="Arial"/>
                <w:sz w:val="20"/>
                <w:szCs w:val="20"/>
              </w:rPr>
              <w:t>Altri accantonamenti</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40.260,80 </w:t>
            </w:r>
          </w:p>
        </w:tc>
      </w:tr>
      <w:tr w:rsidR="00167ADD" w:rsidRPr="00167ADD" w:rsidTr="00F92CE4">
        <w:trPr>
          <w:trHeight w:val="315"/>
        </w:trPr>
        <w:tc>
          <w:tcPr>
            <w:tcW w:w="6880" w:type="dxa"/>
            <w:hideMark/>
          </w:tcPr>
          <w:p w:rsidR="00167ADD" w:rsidRPr="00167ADD" w:rsidRDefault="00167ADD" w:rsidP="00167ADD">
            <w:pPr>
              <w:jc w:val="both"/>
              <w:rPr>
                <w:rFonts w:ascii="Arial" w:hAnsi="Arial" w:cs="Arial"/>
                <w:sz w:val="20"/>
                <w:szCs w:val="20"/>
              </w:rPr>
            </w:pPr>
            <w:r w:rsidRPr="00167ADD">
              <w:rPr>
                <w:rFonts w:ascii="Arial" w:hAnsi="Arial" w:cs="Arial"/>
                <w:sz w:val="20"/>
                <w:szCs w:val="20"/>
              </w:rPr>
              <w:t>Oneri diversi di gestione</w:t>
            </w:r>
          </w:p>
        </w:tc>
        <w:tc>
          <w:tcPr>
            <w:tcW w:w="2754" w:type="dxa"/>
            <w:noWrap/>
            <w:hideMark/>
          </w:tcPr>
          <w:p w:rsidR="00167ADD" w:rsidRPr="00167ADD" w:rsidRDefault="00167ADD" w:rsidP="00F92CE4">
            <w:pPr>
              <w:jc w:val="right"/>
              <w:rPr>
                <w:rFonts w:ascii="Arial" w:hAnsi="Arial" w:cs="Arial"/>
                <w:sz w:val="20"/>
                <w:szCs w:val="20"/>
              </w:rPr>
            </w:pPr>
            <w:r w:rsidRPr="00167ADD">
              <w:rPr>
                <w:rFonts w:ascii="Arial" w:hAnsi="Arial" w:cs="Arial"/>
                <w:sz w:val="20"/>
                <w:szCs w:val="20"/>
              </w:rPr>
              <w:t xml:space="preserve">            138.877,32 </w:t>
            </w:r>
          </w:p>
        </w:tc>
      </w:tr>
      <w:tr w:rsidR="00167ADD" w:rsidRPr="00167ADD" w:rsidTr="00F92CE4">
        <w:trPr>
          <w:trHeight w:val="315"/>
        </w:trPr>
        <w:tc>
          <w:tcPr>
            <w:tcW w:w="6880" w:type="dxa"/>
            <w:noWrap/>
            <w:hideMark/>
          </w:tcPr>
          <w:p w:rsidR="00167ADD" w:rsidRPr="00F92CE4" w:rsidRDefault="00167ADD" w:rsidP="00167ADD">
            <w:pPr>
              <w:jc w:val="both"/>
              <w:rPr>
                <w:rFonts w:ascii="Arial" w:hAnsi="Arial" w:cs="Arial"/>
                <w:b/>
                <w:bCs/>
                <w:sz w:val="20"/>
                <w:szCs w:val="20"/>
              </w:rPr>
            </w:pPr>
            <w:r w:rsidRPr="00F92CE4">
              <w:rPr>
                <w:rFonts w:ascii="Arial" w:hAnsi="Arial" w:cs="Arial"/>
                <w:b/>
                <w:bCs/>
                <w:sz w:val="20"/>
                <w:szCs w:val="20"/>
              </w:rPr>
              <w:t>TOTALE COMPONENTI NEGATIVI DELLA GESTIONE (B)</w:t>
            </w:r>
          </w:p>
        </w:tc>
        <w:tc>
          <w:tcPr>
            <w:tcW w:w="2754" w:type="dxa"/>
            <w:noWrap/>
            <w:hideMark/>
          </w:tcPr>
          <w:p w:rsidR="00167ADD" w:rsidRPr="00167ADD" w:rsidRDefault="00167ADD" w:rsidP="00F92CE4">
            <w:pPr>
              <w:jc w:val="right"/>
              <w:rPr>
                <w:rFonts w:ascii="Arial" w:hAnsi="Arial" w:cs="Arial"/>
                <w:bCs/>
                <w:sz w:val="20"/>
                <w:szCs w:val="20"/>
              </w:rPr>
            </w:pPr>
            <w:r w:rsidRPr="00167ADD">
              <w:rPr>
                <w:rFonts w:ascii="Arial" w:hAnsi="Arial" w:cs="Arial"/>
                <w:bCs/>
                <w:sz w:val="20"/>
                <w:szCs w:val="20"/>
              </w:rPr>
              <w:t xml:space="preserve">        3.469.308,06 </w:t>
            </w:r>
          </w:p>
        </w:tc>
      </w:tr>
    </w:tbl>
    <w:p w:rsidR="00167ADD" w:rsidRPr="00F92CE4" w:rsidRDefault="00F92CE4" w:rsidP="00F92CE4">
      <w:pPr>
        <w:jc w:val="both"/>
        <w:rPr>
          <w:rFonts w:ascii="Arial" w:hAnsi="Arial" w:cs="Arial"/>
          <w:sz w:val="20"/>
          <w:szCs w:val="20"/>
        </w:rPr>
      </w:pPr>
      <w:r w:rsidRPr="00F92CE4">
        <w:rPr>
          <w:rFonts w:ascii="Arial" w:hAnsi="Arial" w:cs="Arial"/>
          <w:sz w:val="20"/>
          <w:szCs w:val="20"/>
        </w:rPr>
        <w:t>Oltre alla gestione caratteristica è necessario considerare anche le altre gestioni che possono produrre effetti</w:t>
      </w:r>
      <w:r>
        <w:rPr>
          <w:rFonts w:ascii="Arial" w:hAnsi="Arial" w:cs="Arial"/>
          <w:sz w:val="20"/>
          <w:szCs w:val="20"/>
        </w:rPr>
        <w:t xml:space="preserve"> </w:t>
      </w:r>
      <w:r w:rsidRPr="00F92CE4">
        <w:rPr>
          <w:rFonts w:ascii="Arial" w:hAnsi="Arial" w:cs="Arial"/>
          <w:sz w:val="20"/>
          <w:szCs w:val="20"/>
        </w:rPr>
        <w:t>particolarmente evidenti sulla composizione del risultato economico complessivo. Tra queste, particolare importanza</w:t>
      </w:r>
      <w:r>
        <w:rPr>
          <w:rFonts w:ascii="Arial" w:hAnsi="Arial" w:cs="Arial"/>
          <w:sz w:val="20"/>
          <w:szCs w:val="20"/>
        </w:rPr>
        <w:t xml:space="preserve"> </w:t>
      </w:r>
      <w:r w:rsidRPr="00F92CE4">
        <w:rPr>
          <w:rFonts w:ascii="Arial" w:hAnsi="Arial" w:cs="Arial"/>
          <w:sz w:val="20"/>
          <w:szCs w:val="20"/>
        </w:rPr>
        <w:t>rivestono la gestione finanziaria e quella straordinaria.</w:t>
      </w:r>
    </w:p>
    <w:tbl>
      <w:tblPr>
        <w:tblStyle w:val="Grigliatabella"/>
        <w:tblW w:w="9634" w:type="dxa"/>
        <w:tblLook w:val="04A0" w:firstRow="1" w:lastRow="0" w:firstColumn="1" w:lastColumn="0" w:noHBand="0" w:noVBand="1"/>
      </w:tblPr>
      <w:tblGrid>
        <w:gridCol w:w="6880"/>
        <w:gridCol w:w="2754"/>
      </w:tblGrid>
      <w:tr w:rsidR="00F92CE4" w:rsidRPr="00F92CE4" w:rsidTr="00F92CE4">
        <w:trPr>
          <w:trHeight w:val="300"/>
        </w:trPr>
        <w:tc>
          <w:tcPr>
            <w:tcW w:w="6880" w:type="dxa"/>
            <w:noWrap/>
            <w:hideMark/>
          </w:tcPr>
          <w:p w:rsidR="00F92CE4" w:rsidRPr="00F92CE4" w:rsidRDefault="00F92CE4" w:rsidP="00F92CE4">
            <w:pPr>
              <w:jc w:val="both"/>
              <w:rPr>
                <w:rFonts w:ascii="Arial" w:hAnsi="Arial" w:cs="Arial"/>
                <w:bCs/>
                <w:sz w:val="20"/>
                <w:szCs w:val="20"/>
                <w:u w:val="single"/>
              </w:rPr>
            </w:pPr>
            <w:r w:rsidRPr="00F92CE4">
              <w:rPr>
                <w:rFonts w:ascii="Arial" w:hAnsi="Arial" w:cs="Arial"/>
                <w:bCs/>
                <w:sz w:val="20"/>
                <w:szCs w:val="20"/>
                <w:u w:val="single"/>
              </w:rPr>
              <w:t>C) PROVENTI ED ONERI FINANZIARI</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i/>
                <w:iCs/>
                <w:sz w:val="20"/>
                <w:szCs w:val="20"/>
                <w:u w:val="single"/>
              </w:rPr>
            </w:pPr>
            <w:r w:rsidRPr="00F92CE4">
              <w:rPr>
                <w:rFonts w:ascii="Arial" w:hAnsi="Arial" w:cs="Arial"/>
                <w:i/>
                <w:iCs/>
                <w:sz w:val="20"/>
                <w:szCs w:val="20"/>
                <w:u w:val="single"/>
              </w:rPr>
              <w:t>Proventi finanziari</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sz w:val="20"/>
                <w:szCs w:val="20"/>
              </w:rPr>
            </w:pPr>
            <w:r w:rsidRPr="00F92CE4">
              <w:rPr>
                <w:rFonts w:ascii="Arial" w:hAnsi="Arial" w:cs="Arial"/>
                <w:sz w:val="20"/>
                <w:szCs w:val="20"/>
              </w:rPr>
              <w:t>Proventi da partecipazioni</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345.417,86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i/>
                <w:iCs/>
                <w:sz w:val="20"/>
                <w:szCs w:val="20"/>
              </w:rPr>
            </w:pPr>
            <w:r w:rsidRPr="00F92CE4">
              <w:rPr>
                <w:rFonts w:ascii="Arial" w:hAnsi="Arial" w:cs="Arial"/>
                <w:i/>
                <w:iCs/>
                <w:sz w:val="20"/>
                <w:szCs w:val="20"/>
              </w:rPr>
              <w:t>da società controllate</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i/>
                <w:iCs/>
                <w:sz w:val="20"/>
                <w:szCs w:val="20"/>
              </w:rPr>
            </w:pPr>
            <w:r w:rsidRPr="00F92CE4">
              <w:rPr>
                <w:rFonts w:ascii="Arial" w:hAnsi="Arial" w:cs="Arial"/>
                <w:i/>
                <w:iCs/>
                <w:sz w:val="20"/>
                <w:szCs w:val="20"/>
              </w:rPr>
              <w:t>da società partecipate</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345.417,86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i/>
                <w:iCs/>
                <w:sz w:val="20"/>
                <w:szCs w:val="20"/>
              </w:rPr>
            </w:pPr>
            <w:r w:rsidRPr="00F92CE4">
              <w:rPr>
                <w:rFonts w:ascii="Arial" w:hAnsi="Arial" w:cs="Arial"/>
                <w:i/>
                <w:iCs/>
                <w:sz w:val="20"/>
                <w:szCs w:val="20"/>
              </w:rPr>
              <w:t>da altri soggetti</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sz w:val="20"/>
                <w:szCs w:val="20"/>
              </w:rPr>
            </w:pPr>
            <w:r w:rsidRPr="00F92CE4">
              <w:rPr>
                <w:rFonts w:ascii="Arial" w:hAnsi="Arial" w:cs="Arial"/>
                <w:sz w:val="20"/>
                <w:szCs w:val="20"/>
              </w:rPr>
              <w:t>Altri proventi finanziari</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118,34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b/>
                <w:bCs/>
                <w:sz w:val="20"/>
                <w:szCs w:val="20"/>
              </w:rPr>
            </w:pPr>
            <w:r w:rsidRPr="00F92CE4">
              <w:rPr>
                <w:rFonts w:ascii="Arial" w:hAnsi="Arial" w:cs="Arial"/>
                <w:b/>
                <w:bCs/>
                <w:sz w:val="20"/>
                <w:szCs w:val="20"/>
              </w:rPr>
              <w:t>Totale proventi finanziari</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345.536,20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i/>
                <w:iCs/>
                <w:sz w:val="20"/>
                <w:szCs w:val="20"/>
                <w:u w:val="single"/>
              </w:rPr>
            </w:pPr>
            <w:r w:rsidRPr="00F92CE4">
              <w:rPr>
                <w:rFonts w:ascii="Arial" w:hAnsi="Arial" w:cs="Arial"/>
                <w:i/>
                <w:iCs/>
                <w:sz w:val="20"/>
                <w:szCs w:val="20"/>
                <w:u w:val="single"/>
              </w:rPr>
              <w:t>Oneri finanziari</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sz w:val="20"/>
                <w:szCs w:val="20"/>
              </w:rPr>
            </w:pPr>
            <w:r w:rsidRPr="00F92CE4">
              <w:rPr>
                <w:rFonts w:ascii="Arial" w:hAnsi="Arial" w:cs="Arial"/>
                <w:sz w:val="20"/>
                <w:szCs w:val="20"/>
              </w:rPr>
              <w:t>Interessi ed altri oneri finanziari</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204.812,41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i/>
                <w:iCs/>
                <w:sz w:val="20"/>
                <w:szCs w:val="20"/>
              </w:rPr>
            </w:pPr>
            <w:r w:rsidRPr="00F92CE4">
              <w:rPr>
                <w:rFonts w:ascii="Arial" w:hAnsi="Arial" w:cs="Arial"/>
                <w:i/>
                <w:iCs/>
                <w:sz w:val="20"/>
                <w:szCs w:val="20"/>
              </w:rPr>
              <w:t>Interessi passivi</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192.769,37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i/>
                <w:iCs/>
                <w:sz w:val="20"/>
                <w:szCs w:val="20"/>
              </w:rPr>
            </w:pPr>
            <w:r w:rsidRPr="00F92CE4">
              <w:rPr>
                <w:rFonts w:ascii="Arial" w:hAnsi="Arial" w:cs="Arial"/>
                <w:i/>
                <w:iCs/>
                <w:sz w:val="20"/>
                <w:szCs w:val="20"/>
              </w:rPr>
              <w:t>Altri oneri finanziari</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b/>
                <w:bCs/>
                <w:sz w:val="20"/>
                <w:szCs w:val="20"/>
              </w:rPr>
            </w:pPr>
            <w:r w:rsidRPr="00F92CE4">
              <w:rPr>
                <w:rFonts w:ascii="Arial" w:hAnsi="Arial" w:cs="Arial"/>
                <w:b/>
                <w:bCs/>
                <w:sz w:val="20"/>
                <w:szCs w:val="20"/>
              </w:rPr>
              <w:t>Totale oneri finanziari</w:t>
            </w:r>
          </w:p>
        </w:tc>
        <w:tc>
          <w:tcPr>
            <w:tcW w:w="2754" w:type="dxa"/>
            <w:noWrap/>
            <w:hideMark/>
          </w:tcPr>
          <w:p w:rsidR="00F92CE4" w:rsidRPr="00F92CE4" w:rsidRDefault="00F92CE4" w:rsidP="00F92CE4">
            <w:pPr>
              <w:jc w:val="right"/>
              <w:rPr>
                <w:rFonts w:ascii="Arial" w:hAnsi="Arial" w:cs="Arial"/>
                <w:b/>
                <w:sz w:val="20"/>
                <w:szCs w:val="20"/>
              </w:rPr>
            </w:pPr>
            <w:r w:rsidRPr="00F92CE4">
              <w:rPr>
                <w:rFonts w:ascii="Arial" w:hAnsi="Arial" w:cs="Arial"/>
                <w:b/>
                <w:sz w:val="20"/>
                <w:szCs w:val="20"/>
              </w:rPr>
              <w:t xml:space="preserve">-          192.769,37 </w:t>
            </w:r>
          </w:p>
        </w:tc>
      </w:tr>
      <w:tr w:rsidR="00F92CE4" w:rsidRPr="00F92CE4" w:rsidTr="00F92CE4">
        <w:trPr>
          <w:trHeight w:val="315"/>
        </w:trPr>
        <w:tc>
          <w:tcPr>
            <w:tcW w:w="6880" w:type="dxa"/>
            <w:noWrap/>
            <w:hideMark/>
          </w:tcPr>
          <w:p w:rsidR="00F92CE4" w:rsidRPr="00F92CE4" w:rsidRDefault="00F92CE4" w:rsidP="00F92CE4">
            <w:pPr>
              <w:jc w:val="both"/>
              <w:rPr>
                <w:rFonts w:ascii="Arial" w:hAnsi="Arial" w:cs="Arial"/>
                <w:b/>
                <w:bCs/>
                <w:sz w:val="20"/>
                <w:szCs w:val="20"/>
              </w:rPr>
            </w:pPr>
            <w:r w:rsidRPr="00F92CE4">
              <w:rPr>
                <w:rFonts w:ascii="Arial" w:hAnsi="Arial" w:cs="Arial"/>
                <w:b/>
                <w:bCs/>
                <w:sz w:val="20"/>
                <w:szCs w:val="20"/>
              </w:rPr>
              <w:t xml:space="preserve">TOTALE PROVENTI ED ONERI FINANZIARI (C) </w:t>
            </w:r>
          </w:p>
        </w:tc>
        <w:tc>
          <w:tcPr>
            <w:tcW w:w="2754" w:type="dxa"/>
            <w:noWrap/>
            <w:hideMark/>
          </w:tcPr>
          <w:p w:rsidR="00F92CE4" w:rsidRPr="00F92CE4" w:rsidRDefault="00F92CE4" w:rsidP="00F92CE4">
            <w:pPr>
              <w:jc w:val="right"/>
              <w:rPr>
                <w:rFonts w:ascii="Arial" w:hAnsi="Arial" w:cs="Arial"/>
                <w:b/>
                <w:bCs/>
                <w:sz w:val="20"/>
                <w:szCs w:val="20"/>
              </w:rPr>
            </w:pPr>
            <w:r w:rsidRPr="00F92CE4">
              <w:rPr>
                <w:rFonts w:ascii="Arial" w:hAnsi="Arial" w:cs="Arial"/>
                <w:b/>
                <w:bCs/>
                <w:sz w:val="20"/>
                <w:szCs w:val="20"/>
              </w:rPr>
              <w:t xml:space="preserve">            128.680,75 </w:t>
            </w:r>
          </w:p>
        </w:tc>
      </w:tr>
    </w:tbl>
    <w:p w:rsidR="00681BDC" w:rsidRDefault="00681BDC" w:rsidP="00CB73FA">
      <w:pPr>
        <w:jc w:val="both"/>
        <w:rPr>
          <w:rFonts w:ascii="Arial" w:hAnsi="Arial" w:cs="Arial"/>
          <w:b/>
          <w:sz w:val="20"/>
          <w:szCs w:val="20"/>
        </w:rPr>
      </w:pPr>
    </w:p>
    <w:tbl>
      <w:tblPr>
        <w:tblStyle w:val="Grigliatabella"/>
        <w:tblW w:w="9634" w:type="dxa"/>
        <w:tblLook w:val="04A0" w:firstRow="1" w:lastRow="0" w:firstColumn="1" w:lastColumn="0" w:noHBand="0" w:noVBand="1"/>
      </w:tblPr>
      <w:tblGrid>
        <w:gridCol w:w="6880"/>
        <w:gridCol w:w="2754"/>
      </w:tblGrid>
      <w:tr w:rsidR="00F92CE4" w:rsidRPr="00F92CE4" w:rsidTr="00F92CE4">
        <w:trPr>
          <w:trHeight w:val="300"/>
        </w:trPr>
        <w:tc>
          <w:tcPr>
            <w:tcW w:w="6880" w:type="dxa"/>
            <w:noWrap/>
            <w:hideMark/>
          </w:tcPr>
          <w:p w:rsidR="00F92CE4" w:rsidRPr="00F92CE4" w:rsidRDefault="00F92CE4" w:rsidP="00F92CE4">
            <w:pPr>
              <w:jc w:val="both"/>
              <w:rPr>
                <w:rFonts w:ascii="Arial" w:hAnsi="Arial" w:cs="Arial"/>
                <w:b/>
                <w:bCs/>
                <w:sz w:val="20"/>
                <w:szCs w:val="20"/>
                <w:u w:val="single"/>
              </w:rPr>
            </w:pPr>
            <w:r w:rsidRPr="00F92CE4">
              <w:rPr>
                <w:rFonts w:ascii="Arial" w:hAnsi="Arial" w:cs="Arial"/>
                <w:b/>
                <w:bCs/>
                <w:sz w:val="20"/>
                <w:szCs w:val="20"/>
                <w:u w:val="single"/>
              </w:rPr>
              <w:lastRenderedPageBreak/>
              <w:t>E) PROVENTI ED ONERI STRAORDINARI</w:t>
            </w:r>
          </w:p>
        </w:tc>
        <w:tc>
          <w:tcPr>
            <w:tcW w:w="2754" w:type="dxa"/>
            <w:noWrap/>
            <w:hideMark/>
          </w:tcPr>
          <w:p w:rsidR="00F92CE4" w:rsidRPr="00F92CE4" w:rsidRDefault="00F92CE4" w:rsidP="00F92CE4">
            <w:pPr>
              <w:jc w:val="right"/>
              <w:rPr>
                <w:rFonts w:ascii="Arial" w:hAnsi="Arial" w:cs="Arial"/>
                <w:b/>
                <w:sz w:val="20"/>
                <w:szCs w:val="20"/>
              </w:rPr>
            </w:pPr>
            <w:r w:rsidRPr="00F92CE4">
              <w:rPr>
                <w:rFonts w:ascii="Arial" w:hAnsi="Arial" w:cs="Arial"/>
                <w:b/>
                <w:sz w:val="20"/>
                <w:szCs w:val="20"/>
              </w:rPr>
              <w:t xml:space="preserve">                              -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sz w:val="20"/>
                <w:szCs w:val="20"/>
              </w:rPr>
            </w:pPr>
            <w:r w:rsidRPr="00F92CE4">
              <w:rPr>
                <w:rFonts w:ascii="Arial" w:hAnsi="Arial" w:cs="Arial"/>
                <w:sz w:val="20"/>
                <w:szCs w:val="20"/>
              </w:rPr>
              <w:t>Proventi straordinari</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127.021,80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i/>
                <w:iCs/>
                <w:sz w:val="20"/>
                <w:szCs w:val="20"/>
              </w:rPr>
            </w:pPr>
            <w:r w:rsidRPr="00F92CE4">
              <w:rPr>
                <w:rFonts w:ascii="Arial" w:hAnsi="Arial" w:cs="Arial"/>
                <w:i/>
                <w:iCs/>
                <w:sz w:val="20"/>
                <w:szCs w:val="20"/>
              </w:rPr>
              <w:t>Proventi da permessi di costruire</w:t>
            </w:r>
            <w:r w:rsidRPr="00F92CE4">
              <w:rPr>
                <w:rFonts w:ascii="Arial" w:hAnsi="Arial" w:cs="Arial"/>
                <w:bCs/>
                <w:i/>
                <w:iCs/>
                <w:sz w:val="20"/>
                <w:szCs w:val="20"/>
              </w:rPr>
              <w:t xml:space="preserve"> </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i/>
                <w:iCs/>
                <w:sz w:val="20"/>
                <w:szCs w:val="20"/>
              </w:rPr>
            </w:pPr>
            <w:r w:rsidRPr="00F92CE4">
              <w:rPr>
                <w:rFonts w:ascii="Arial" w:hAnsi="Arial" w:cs="Arial"/>
                <w:i/>
                <w:iCs/>
                <w:sz w:val="20"/>
                <w:szCs w:val="20"/>
              </w:rPr>
              <w:t>Proventi da trasferimenti in conto capitale</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i/>
                <w:iCs/>
                <w:sz w:val="20"/>
                <w:szCs w:val="20"/>
              </w:rPr>
            </w:pPr>
            <w:r w:rsidRPr="00F92CE4">
              <w:rPr>
                <w:rFonts w:ascii="Arial" w:hAnsi="Arial" w:cs="Arial"/>
                <w:i/>
                <w:iCs/>
                <w:sz w:val="20"/>
                <w:szCs w:val="20"/>
              </w:rPr>
              <w:t>Sopravvenienze attive e insussistenze del passivo</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127.021,80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i/>
                <w:iCs/>
                <w:sz w:val="20"/>
                <w:szCs w:val="20"/>
              </w:rPr>
            </w:pPr>
            <w:r w:rsidRPr="00F92CE4">
              <w:rPr>
                <w:rFonts w:ascii="Arial" w:hAnsi="Arial" w:cs="Arial"/>
                <w:i/>
                <w:iCs/>
                <w:sz w:val="20"/>
                <w:szCs w:val="20"/>
              </w:rPr>
              <w:t>Plusvalenze patrimoniali</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i/>
                <w:iCs/>
                <w:sz w:val="20"/>
                <w:szCs w:val="20"/>
              </w:rPr>
            </w:pPr>
            <w:r w:rsidRPr="00F92CE4">
              <w:rPr>
                <w:rFonts w:ascii="Arial" w:hAnsi="Arial" w:cs="Arial"/>
                <w:i/>
                <w:iCs/>
                <w:sz w:val="20"/>
                <w:szCs w:val="20"/>
              </w:rPr>
              <w:t>Altri proventi straordinari</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bCs/>
                <w:sz w:val="20"/>
                <w:szCs w:val="20"/>
              </w:rPr>
            </w:pPr>
            <w:r w:rsidRPr="00F92CE4">
              <w:rPr>
                <w:rFonts w:ascii="Arial" w:hAnsi="Arial" w:cs="Arial"/>
                <w:bCs/>
                <w:sz w:val="20"/>
                <w:szCs w:val="20"/>
              </w:rPr>
              <w:t>Totale proventi straordinari</w:t>
            </w:r>
          </w:p>
        </w:tc>
        <w:tc>
          <w:tcPr>
            <w:tcW w:w="2754" w:type="dxa"/>
            <w:noWrap/>
            <w:hideMark/>
          </w:tcPr>
          <w:p w:rsidR="00F92CE4" w:rsidRPr="00F92CE4" w:rsidRDefault="00F92CE4" w:rsidP="00F92CE4">
            <w:pPr>
              <w:jc w:val="right"/>
              <w:rPr>
                <w:rFonts w:ascii="Arial" w:hAnsi="Arial" w:cs="Arial"/>
                <w:bCs/>
                <w:sz w:val="20"/>
                <w:szCs w:val="20"/>
              </w:rPr>
            </w:pPr>
            <w:r w:rsidRPr="00F92CE4">
              <w:rPr>
                <w:rFonts w:ascii="Arial" w:hAnsi="Arial" w:cs="Arial"/>
                <w:bCs/>
                <w:sz w:val="20"/>
                <w:szCs w:val="20"/>
              </w:rPr>
              <w:t xml:space="preserve">            127.021,80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sz w:val="20"/>
                <w:szCs w:val="20"/>
              </w:rPr>
            </w:pPr>
            <w:r w:rsidRPr="00F92CE4">
              <w:rPr>
                <w:rFonts w:ascii="Arial" w:hAnsi="Arial" w:cs="Arial"/>
                <w:sz w:val="20"/>
                <w:szCs w:val="20"/>
              </w:rPr>
              <w:t>Oneri straordinari</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64.568,07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i/>
                <w:iCs/>
                <w:sz w:val="20"/>
                <w:szCs w:val="20"/>
              </w:rPr>
            </w:pPr>
            <w:r w:rsidRPr="00F92CE4">
              <w:rPr>
                <w:rFonts w:ascii="Arial" w:hAnsi="Arial" w:cs="Arial"/>
                <w:i/>
                <w:iCs/>
                <w:sz w:val="20"/>
                <w:szCs w:val="20"/>
              </w:rPr>
              <w:t>Trasferimenti in conto capitale</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i/>
                <w:iCs/>
                <w:sz w:val="20"/>
                <w:szCs w:val="20"/>
              </w:rPr>
            </w:pPr>
            <w:r w:rsidRPr="00F92CE4">
              <w:rPr>
                <w:rFonts w:ascii="Arial" w:hAnsi="Arial" w:cs="Arial"/>
                <w:i/>
                <w:iCs/>
                <w:sz w:val="20"/>
                <w:szCs w:val="20"/>
              </w:rPr>
              <w:t>Sopravvenienze passive e insussistenze dell'attivo</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64.568,07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i/>
                <w:iCs/>
                <w:sz w:val="20"/>
                <w:szCs w:val="20"/>
              </w:rPr>
            </w:pPr>
            <w:r w:rsidRPr="00F92CE4">
              <w:rPr>
                <w:rFonts w:ascii="Arial" w:hAnsi="Arial" w:cs="Arial"/>
                <w:i/>
                <w:iCs/>
                <w:sz w:val="20"/>
                <w:szCs w:val="20"/>
              </w:rPr>
              <w:t>Minusvalenze patrimoniali</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i/>
                <w:iCs/>
                <w:sz w:val="20"/>
                <w:szCs w:val="20"/>
              </w:rPr>
            </w:pPr>
            <w:r w:rsidRPr="00F92CE4">
              <w:rPr>
                <w:rFonts w:ascii="Arial" w:hAnsi="Arial" w:cs="Arial"/>
                <w:i/>
                <w:iCs/>
                <w:sz w:val="20"/>
                <w:szCs w:val="20"/>
              </w:rPr>
              <w:t xml:space="preserve">Altri oneri straordinari </w:t>
            </w:r>
          </w:p>
        </w:tc>
        <w:tc>
          <w:tcPr>
            <w:tcW w:w="2754" w:type="dxa"/>
            <w:noWrap/>
            <w:hideMark/>
          </w:tcPr>
          <w:p w:rsidR="00F92CE4" w:rsidRPr="00F92CE4" w:rsidRDefault="00F92CE4" w:rsidP="00F92CE4">
            <w:pPr>
              <w:jc w:val="right"/>
              <w:rPr>
                <w:rFonts w:ascii="Arial" w:hAnsi="Arial" w:cs="Arial"/>
                <w:sz w:val="20"/>
                <w:szCs w:val="20"/>
              </w:rPr>
            </w:pPr>
            <w:r w:rsidRPr="00F92CE4">
              <w:rPr>
                <w:rFonts w:ascii="Arial" w:hAnsi="Arial" w:cs="Arial"/>
                <w:sz w:val="20"/>
                <w:szCs w:val="20"/>
              </w:rPr>
              <w:t xml:space="preserve">                              -   </w:t>
            </w:r>
          </w:p>
        </w:tc>
      </w:tr>
      <w:tr w:rsidR="00F92CE4" w:rsidRPr="00F92CE4" w:rsidTr="00F92CE4">
        <w:trPr>
          <w:trHeight w:val="300"/>
        </w:trPr>
        <w:tc>
          <w:tcPr>
            <w:tcW w:w="6880" w:type="dxa"/>
            <w:noWrap/>
            <w:hideMark/>
          </w:tcPr>
          <w:p w:rsidR="00F92CE4" w:rsidRPr="00F92CE4" w:rsidRDefault="00F92CE4" w:rsidP="00F92CE4">
            <w:pPr>
              <w:jc w:val="both"/>
              <w:rPr>
                <w:rFonts w:ascii="Arial" w:hAnsi="Arial" w:cs="Arial"/>
                <w:bCs/>
                <w:sz w:val="20"/>
                <w:szCs w:val="20"/>
              </w:rPr>
            </w:pPr>
            <w:r w:rsidRPr="00F92CE4">
              <w:rPr>
                <w:rFonts w:ascii="Arial" w:hAnsi="Arial" w:cs="Arial"/>
                <w:bCs/>
                <w:sz w:val="20"/>
                <w:szCs w:val="20"/>
              </w:rPr>
              <w:t>Totale oneri straordinari</w:t>
            </w:r>
          </w:p>
        </w:tc>
        <w:tc>
          <w:tcPr>
            <w:tcW w:w="2754" w:type="dxa"/>
            <w:noWrap/>
            <w:hideMark/>
          </w:tcPr>
          <w:p w:rsidR="00F92CE4" w:rsidRPr="00F92CE4" w:rsidRDefault="00F92CE4" w:rsidP="00F92CE4">
            <w:pPr>
              <w:jc w:val="right"/>
              <w:rPr>
                <w:rFonts w:ascii="Arial" w:hAnsi="Arial" w:cs="Arial"/>
                <w:bCs/>
                <w:sz w:val="20"/>
                <w:szCs w:val="20"/>
              </w:rPr>
            </w:pPr>
            <w:r w:rsidRPr="00F92CE4">
              <w:rPr>
                <w:rFonts w:ascii="Arial" w:hAnsi="Arial" w:cs="Arial"/>
                <w:bCs/>
                <w:sz w:val="20"/>
                <w:szCs w:val="20"/>
              </w:rPr>
              <w:t xml:space="preserve">-             64.568,07 </w:t>
            </w:r>
          </w:p>
        </w:tc>
      </w:tr>
      <w:tr w:rsidR="00F92CE4" w:rsidRPr="00F92CE4" w:rsidTr="00F92CE4">
        <w:trPr>
          <w:trHeight w:val="315"/>
        </w:trPr>
        <w:tc>
          <w:tcPr>
            <w:tcW w:w="6880" w:type="dxa"/>
            <w:noWrap/>
            <w:hideMark/>
          </w:tcPr>
          <w:p w:rsidR="00F92CE4" w:rsidRPr="00F92CE4" w:rsidRDefault="00F92CE4" w:rsidP="00F92CE4">
            <w:pPr>
              <w:jc w:val="both"/>
              <w:rPr>
                <w:rFonts w:ascii="Arial" w:hAnsi="Arial" w:cs="Arial"/>
                <w:bCs/>
                <w:sz w:val="20"/>
                <w:szCs w:val="20"/>
              </w:rPr>
            </w:pPr>
          </w:p>
        </w:tc>
        <w:tc>
          <w:tcPr>
            <w:tcW w:w="2754" w:type="dxa"/>
            <w:noWrap/>
            <w:hideMark/>
          </w:tcPr>
          <w:p w:rsidR="00F92CE4" w:rsidRPr="00F92CE4" w:rsidRDefault="00F92CE4" w:rsidP="00F92CE4">
            <w:pPr>
              <w:jc w:val="right"/>
              <w:rPr>
                <w:rFonts w:ascii="Arial" w:hAnsi="Arial" w:cs="Arial"/>
                <w:bCs/>
                <w:sz w:val="20"/>
                <w:szCs w:val="20"/>
              </w:rPr>
            </w:pPr>
            <w:r w:rsidRPr="00F92CE4">
              <w:rPr>
                <w:rFonts w:ascii="Arial" w:hAnsi="Arial" w:cs="Arial"/>
                <w:bCs/>
                <w:sz w:val="20"/>
                <w:szCs w:val="20"/>
              </w:rPr>
              <w:t xml:space="preserve">                              -   </w:t>
            </w:r>
          </w:p>
        </w:tc>
      </w:tr>
      <w:tr w:rsidR="00F92CE4" w:rsidRPr="00F92CE4" w:rsidTr="00F92CE4">
        <w:trPr>
          <w:trHeight w:val="315"/>
        </w:trPr>
        <w:tc>
          <w:tcPr>
            <w:tcW w:w="6880" w:type="dxa"/>
            <w:noWrap/>
            <w:hideMark/>
          </w:tcPr>
          <w:p w:rsidR="00F92CE4" w:rsidRPr="00F92CE4" w:rsidRDefault="00F92CE4" w:rsidP="00F92CE4">
            <w:pPr>
              <w:jc w:val="both"/>
              <w:rPr>
                <w:rFonts w:ascii="Arial" w:hAnsi="Arial" w:cs="Arial"/>
                <w:b/>
                <w:bCs/>
                <w:sz w:val="20"/>
                <w:szCs w:val="20"/>
              </w:rPr>
            </w:pPr>
            <w:r w:rsidRPr="00F92CE4">
              <w:rPr>
                <w:rFonts w:ascii="Arial" w:hAnsi="Arial" w:cs="Arial"/>
                <w:b/>
                <w:bCs/>
                <w:sz w:val="20"/>
                <w:szCs w:val="20"/>
              </w:rPr>
              <w:t>TOTALE PROVENTI ED ONERI STRAORDINARI (E)</w:t>
            </w:r>
          </w:p>
        </w:tc>
        <w:tc>
          <w:tcPr>
            <w:tcW w:w="2754" w:type="dxa"/>
            <w:noWrap/>
            <w:hideMark/>
          </w:tcPr>
          <w:p w:rsidR="00F92CE4" w:rsidRPr="00F92CE4" w:rsidRDefault="00F92CE4" w:rsidP="00F92CE4">
            <w:pPr>
              <w:jc w:val="right"/>
              <w:rPr>
                <w:rFonts w:ascii="Arial" w:hAnsi="Arial" w:cs="Arial"/>
                <w:bCs/>
                <w:sz w:val="20"/>
                <w:szCs w:val="20"/>
              </w:rPr>
            </w:pPr>
            <w:r w:rsidRPr="00F92CE4">
              <w:rPr>
                <w:rFonts w:ascii="Arial" w:hAnsi="Arial" w:cs="Arial"/>
                <w:bCs/>
                <w:sz w:val="20"/>
                <w:szCs w:val="20"/>
              </w:rPr>
              <w:t xml:space="preserve">              62.453,73 </w:t>
            </w:r>
          </w:p>
        </w:tc>
      </w:tr>
    </w:tbl>
    <w:p w:rsidR="00681BDC" w:rsidRDefault="00681BDC" w:rsidP="00CB73FA">
      <w:pPr>
        <w:jc w:val="both"/>
        <w:rPr>
          <w:rFonts w:ascii="Arial" w:hAnsi="Arial" w:cs="Arial"/>
          <w:b/>
          <w:sz w:val="20"/>
          <w:szCs w:val="20"/>
        </w:rPr>
      </w:pPr>
    </w:p>
    <w:p w:rsidR="00E845DD" w:rsidRPr="00E845DD" w:rsidRDefault="00E845DD" w:rsidP="00E845DD">
      <w:pPr>
        <w:widowControl w:val="0"/>
        <w:spacing w:after="0" w:line="360" w:lineRule="auto"/>
        <w:jc w:val="both"/>
        <w:rPr>
          <w:rFonts w:ascii="Arial" w:eastAsia="Arial" w:hAnsi="Arial" w:cs="Arial"/>
          <w:color w:val="000000"/>
          <w:sz w:val="20"/>
          <w:szCs w:val="20"/>
          <w:lang w:eastAsia="it-IT"/>
        </w:rPr>
      </w:pPr>
      <w:r w:rsidRPr="00E845DD">
        <w:rPr>
          <w:rFonts w:ascii="Arial" w:eastAsia="Arial" w:hAnsi="Arial" w:cs="Arial"/>
          <w:color w:val="000000"/>
          <w:sz w:val="20"/>
          <w:szCs w:val="20"/>
          <w:lang w:eastAsia="it-IT"/>
        </w:rPr>
        <w:t xml:space="preserve">Il risultato positivo della gestione straordinaria è determinato principalmente da sopravvenienze attive pari ad € </w:t>
      </w:r>
      <w:r>
        <w:rPr>
          <w:rFonts w:ascii="Arial" w:eastAsia="Arial" w:hAnsi="Arial" w:cs="Arial"/>
          <w:color w:val="000000"/>
          <w:sz w:val="20"/>
          <w:szCs w:val="20"/>
          <w:lang w:eastAsia="it-IT"/>
        </w:rPr>
        <w:t>127.021,80</w:t>
      </w:r>
      <w:r w:rsidRPr="00E845DD">
        <w:rPr>
          <w:rFonts w:ascii="Arial" w:eastAsia="Arial" w:hAnsi="Arial" w:cs="Arial"/>
          <w:color w:val="000000"/>
          <w:sz w:val="20"/>
          <w:szCs w:val="20"/>
          <w:lang w:eastAsia="it-IT"/>
        </w:rPr>
        <w:t xml:space="preserve"> del Comune riguardanti insussistenze del passivo</w:t>
      </w:r>
      <w:r>
        <w:rPr>
          <w:rFonts w:ascii="Arial" w:eastAsia="Arial" w:hAnsi="Arial" w:cs="Arial"/>
          <w:color w:val="000000"/>
          <w:sz w:val="20"/>
          <w:szCs w:val="20"/>
          <w:lang w:eastAsia="it-IT"/>
        </w:rPr>
        <w:t xml:space="preserve"> e lasciti</w:t>
      </w:r>
      <w:r w:rsidRPr="00E845DD">
        <w:rPr>
          <w:rFonts w:ascii="Arial" w:eastAsia="Arial" w:hAnsi="Arial" w:cs="Arial"/>
          <w:color w:val="000000"/>
          <w:sz w:val="20"/>
          <w:szCs w:val="20"/>
          <w:lang w:eastAsia="it-IT"/>
        </w:rPr>
        <w:t xml:space="preserve">. Per quanto riguarda gli oneri straordinari, l'importo principale di € </w:t>
      </w:r>
      <w:r>
        <w:rPr>
          <w:rFonts w:ascii="Arial" w:eastAsia="Arial" w:hAnsi="Arial" w:cs="Arial"/>
          <w:color w:val="000000"/>
          <w:sz w:val="20"/>
          <w:szCs w:val="20"/>
          <w:lang w:eastAsia="it-IT"/>
        </w:rPr>
        <w:t>64.568,07</w:t>
      </w:r>
      <w:r w:rsidRPr="00E845DD">
        <w:rPr>
          <w:rFonts w:ascii="Arial" w:eastAsia="Arial" w:hAnsi="Arial" w:cs="Arial"/>
          <w:color w:val="000000"/>
          <w:sz w:val="20"/>
          <w:szCs w:val="20"/>
          <w:lang w:eastAsia="it-IT"/>
        </w:rPr>
        <w:t xml:space="preserve"> riguarda sopravvenienze passive del Comune per insussistenze dell'attivo.</w:t>
      </w:r>
    </w:p>
    <w:p w:rsidR="00E845DD" w:rsidRDefault="00E845DD" w:rsidP="00E845DD">
      <w:pPr>
        <w:widowControl w:val="0"/>
        <w:spacing w:after="0" w:line="360" w:lineRule="auto"/>
        <w:jc w:val="both"/>
        <w:rPr>
          <w:rFonts w:ascii="Arial" w:eastAsia="Arial" w:hAnsi="Arial" w:cs="Arial"/>
          <w:color w:val="000000"/>
          <w:sz w:val="20"/>
          <w:szCs w:val="20"/>
          <w:lang w:eastAsia="it-IT"/>
        </w:rPr>
      </w:pPr>
      <w:r w:rsidRPr="00E845DD">
        <w:rPr>
          <w:rFonts w:ascii="Arial" w:eastAsia="Arial" w:hAnsi="Arial" w:cs="Arial"/>
          <w:color w:val="000000"/>
          <w:sz w:val="20"/>
          <w:szCs w:val="20"/>
          <w:lang w:eastAsia="it-IT"/>
        </w:rPr>
        <w:t xml:space="preserve">Per quanto riguarda il bilancio del Comune, è stato indicato nella voce B) COMPONENTI NEGATIVI DELLLA GESTIONE 10) Prestazioni di servizi l'ammontare dei compensi degli amministratori pari ad €. </w:t>
      </w:r>
      <w:r>
        <w:rPr>
          <w:rFonts w:ascii="Arial" w:eastAsia="Arial" w:hAnsi="Arial" w:cs="Arial"/>
          <w:color w:val="000000"/>
          <w:sz w:val="20"/>
          <w:szCs w:val="20"/>
          <w:lang w:eastAsia="it-IT"/>
        </w:rPr>
        <w:t>7</w:t>
      </w:r>
      <w:r w:rsidR="00783330">
        <w:rPr>
          <w:rFonts w:ascii="Arial" w:eastAsia="Arial" w:hAnsi="Arial" w:cs="Arial"/>
          <w:color w:val="000000"/>
          <w:sz w:val="20"/>
          <w:szCs w:val="20"/>
          <w:lang w:eastAsia="it-IT"/>
        </w:rPr>
        <w:t>9.095,12</w:t>
      </w:r>
      <w:r w:rsidRPr="00E845DD">
        <w:rPr>
          <w:rFonts w:ascii="Arial" w:eastAsia="Arial" w:hAnsi="Arial" w:cs="Arial"/>
          <w:color w:val="000000"/>
          <w:sz w:val="20"/>
          <w:szCs w:val="20"/>
          <w:lang w:eastAsia="it-IT"/>
        </w:rPr>
        <w:t xml:space="preserve"> e i compensi del Revisor</w:t>
      </w:r>
      <w:r>
        <w:rPr>
          <w:rFonts w:ascii="Arial" w:eastAsia="Arial" w:hAnsi="Arial" w:cs="Arial"/>
          <w:color w:val="000000"/>
          <w:sz w:val="20"/>
          <w:szCs w:val="20"/>
          <w:lang w:eastAsia="it-IT"/>
        </w:rPr>
        <w:t>e</w:t>
      </w:r>
      <w:r w:rsidRPr="00E845DD">
        <w:rPr>
          <w:rFonts w:ascii="Arial" w:eastAsia="Arial" w:hAnsi="Arial" w:cs="Arial"/>
          <w:color w:val="000000"/>
          <w:sz w:val="20"/>
          <w:szCs w:val="20"/>
          <w:lang w:eastAsia="it-IT"/>
        </w:rPr>
        <w:t xml:space="preserve"> dei Conti pari ad € </w:t>
      </w:r>
      <w:r w:rsidR="00783330">
        <w:rPr>
          <w:rFonts w:ascii="Arial" w:eastAsia="Arial" w:hAnsi="Arial" w:cs="Arial"/>
          <w:color w:val="000000"/>
          <w:sz w:val="20"/>
          <w:szCs w:val="20"/>
          <w:lang w:eastAsia="it-IT"/>
        </w:rPr>
        <w:t>6.700</w:t>
      </w:r>
      <w:r w:rsidRPr="00E845DD">
        <w:rPr>
          <w:rFonts w:ascii="Arial" w:eastAsia="Arial" w:hAnsi="Arial" w:cs="Arial"/>
          <w:color w:val="000000"/>
          <w:sz w:val="20"/>
          <w:szCs w:val="20"/>
          <w:lang w:eastAsia="it-IT"/>
        </w:rPr>
        <w:t xml:space="preserve"> relativi all'anno 201</w:t>
      </w:r>
      <w:r>
        <w:rPr>
          <w:rFonts w:ascii="Arial" w:eastAsia="Arial" w:hAnsi="Arial" w:cs="Arial"/>
          <w:color w:val="000000"/>
          <w:sz w:val="20"/>
          <w:szCs w:val="20"/>
          <w:lang w:eastAsia="it-IT"/>
        </w:rPr>
        <w:t>5</w:t>
      </w:r>
      <w:r w:rsidRPr="00E845DD">
        <w:rPr>
          <w:rFonts w:ascii="Arial" w:eastAsia="Arial" w:hAnsi="Arial" w:cs="Arial"/>
          <w:color w:val="000000"/>
          <w:sz w:val="20"/>
          <w:szCs w:val="20"/>
          <w:lang w:eastAsia="it-IT"/>
        </w:rPr>
        <w:t xml:space="preserve"> per lo svolgimento delle loro funzioni.</w:t>
      </w:r>
    </w:p>
    <w:p w:rsidR="00783330" w:rsidRPr="00E845DD" w:rsidRDefault="00783330" w:rsidP="00E845DD">
      <w:pPr>
        <w:widowControl w:val="0"/>
        <w:spacing w:after="0" w:line="360" w:lineRule="auto"/>
        <w:jc w:val="both"/>
        <w:rPr>
          <w:rFonts w:ascii="Arial" w:eastAsia="Arial" w:hAnsi="Arial" w:cs="Arial"/>
          <w:color w:val="000000"/>
          <w:sz w:val="20"/>
          <w:szCs w:val="20"/>
          <w:lang w:eastAsia="it-IT"/>
        </w:rPr>
      </w:pPr>
    </w:p>
    <w:p w:rsidR="00783330" w:rsidRPr="00783330" w:rsidRDefault="00783330" w:rsidP="00783330">
      <w:pPr>
        <w:keepNext/>
        <w:keepLines/>
        <w:widowControl w:val="0"/>
        <w:spacing w:after="0" w:line="360" w:lineRule="auto"/>
        <w:outlineLvl w:val="2"/>
        <w:rPr>
          <w:rFonts w:ascii="Arial" w:eastAsia="Arial" w:hAnsi="Arial" w:cs="Arial"/>
          <w:b/>
          <w:bCs/>
          <w:color w:val="000000"/>
          <w:sz w:val="20"/>
          <w:szCs w:val="20"/>
          <w:lang w:eastAsia="it-IT"/>
        </w:rPr>
      </w:pPr>
      <w:bookmarkStart w:id="1" w:name="bookmark14"/>
      <w:r w:rsidRPr="00783330">
        <w:rPr>
          <w:rFonts w:ascii="Arial" w:eastAsia="Arial" w:hAnsi="Arial" w:cs="Arial"/>
          <w:b/>
          <w:bCs/>
          <w:color w:val="000000"/>
          <w:sz w:val="20"/>
          <w:szCs w:val="20"/>
          <w:lang w:eastAsia="it-IT"/>
        </w:rPr>
        <w:t>LA GESTIONE PATRIMONIALE ATTIVIT</w:t>
      </w:r>
      <w:bookmarkEnd w:id="1"/>
      <w:r w:rsidR="00FB519B">
        <w:rPr>
          <w:rFonts w:ascii="Arial" w:eastAsia="Arial" w:hAnsi="Arial" w:cs="Arial"/>
          <w:b/>
          <w:bCs/>
          <w:color w:val="000000"/>
          <w:sz w:val="20"/>
          <w:szCs w:val="20"/>
          <w:lang w:eastAsia="it-IT"/>
        </w:rPr>
        <w:t>À</w:t>
      </w:r>
    </w:p>
    <w:p w:rsidR="00783330" w:rsidRPr="00783330" w:rsidRDefault="00783330" w:rsidP="00783330">
      <w:pPr>
        <w:widowControl w:val="0"/>
        <w:spacing w:after="0" w:line="360" w:lineRule="auto"/>
        <w:jc w:val="both"/>
        <w:rPr>
          <w:rFonts w:ascii="Arial" w:eastAsia="Arial" w:hAnsi="Arial" w:cs="Arial"/>
          <w:color w:val="000000"/>
          <w:sz w:val="20"/>
          <w:szCs w:val="20"/>
          <w:lang w:eastAsia="it-IT"/>
        </w:rPr>
      </w:pPr>
      <w:r w:rsidRPr="00783330">
        <w:rPr>
          <w:rFonts w:ascii="Arial" w:eastAsia="Arial" w:hAnsi="Arial" w:cs="Arial"/>
          <w:color w:val="000000"/>
          <w:sz w:val="20"/>
          <w:szCs w:val="20"/>
          <w:lang w:eastAsia="it-IT"/>
        </w:rPr>
        <w:t>L'aggregato immobilizzazioni rappresenta, insieme all'attivo circolante, quello di maggior interesse per la valutazione complessiva del patrimonio del gruppo comunale. Essa misura il valore netto dei beni durevoli che partecipa al processo di produzione/erogazione per più esercizi.</w:t>
      </w:r>
    </w:p>
    <w:p w:rsidR="00783330" w:rsidRPr="00783330" w:rsidRDefault="00783330" w:rsidP="00783330">
      <w:pPr>
        <w:widowControl w:val="0"/>
        <w:spacing w:after="0" w:line="360" w:lineRule="auto"/>
        <w:jc w:val="both"/>
        <w:rPr>
          <w:rFonts w:ascii="Arial" w:eastAsia="Arial" w:hAnsi="Arial" w:cs="Arial"/>
          <w:color w:val="000000"/>
          <w:sz w:val="20"/>
          <w:szCs w:val="20"/>
          <w:lang w:eastAsia="it-IT"/>
        </w:rPr>
      </w:pPr>
      <w:r w:rsidRPr="00783330">
        <w:rPr>
          <w:rFonts w:ascii="Arial" w:eastAsia="Arial" w:hAnsi="Arial" w:cs="Arial"/>
          <w:color w:val="000000"/>
          <w:sz w:val="20"/>
          <w:szCs w:val="20"/>
          <w:lang w:eastAsia="it-IT"/>
        </w:rPr>
        <w:t>Il carattere permanente che contraddistingue tali beni, concorre alla determinazione del grado di rigidità del patrimonio aziendale, condizionando in modo sensibile le scelte strategiche dell'amministrazione.</w:t>
      </w:r>
    </w:p>
    <w:p w:rsidR="00783330" w:rsidRPr="00783330" w:rsidRDefault="00783330" w:rsidP="00783330">
      <w:pPr>
        <w:widowControl w:val="0"/>
        <w:spacing w:after="0" w:line="360" w:lineRule="auto"/>
        <w:jc w:val="both"/>
        <w:rPr>
          <w:rFonts w:ascii="Arial" w:eastAsia="Arial" w:hAnsi="Arial" w:cs="Arial"/>
          <w:color w:val="000000"/>
          <w:sz w:val="20"/>
          <w:szCs w:val="20"/>
          <w:lang w:eastAsia="it-IT"/>
        </w:rPr>
      </w:pPr>
      <w:r w:rsidRPr="00783330">
        <w:rPr>
          <w:rFonts w:ascii="Arial" w:eastAsia="Arial" w:hAnsi="Arial" w:cs="Arial"/>
          <w:color w:val="000000"/>
          <w:sz w:val="20"/>
          <w:szCs w:val="20"/>
          <w:lang w:eastAsia="it-IT"/>
        </w:rPr>
        <w:t>Tra le immobilizzazioni finanziarie sono allocati principalmente i valori relativi alle partecipazioni in imprese partecipate da parte del Comune. Il bilancio consolidato del Comune di S</w:t>
      </w:r>
      <w:r w:rsidR="00B868DF" w:rsidRPr="00B868DF">
        <w:rPr>
          <w:rFonts w:ascii="Arial" w:eastAsia="Arial" w:hAnsi="Arial" w:cs="Arial"/>
          <w:color w:val="000000"/>
          <w:sz w:val="20"/>
          <w:szCs w:val="20"/>
          <w:lang w:eastAsia="it-IT"/>
        </w:rPr>
        <w:t>algareda</w:t>
      </w:r>
      <w:r w:rsidRPr="00783330">
        <w:rPr>
          <w:rFonts w:ascii="Arial" w:eastAsia="Arial" w:hAnsi="Arial" w:cs="Arial"/>
          <w:color w:val="000000"/>
          <w:sz w:val="20"/>
          <w:szCs w:val="20"/>
          <w:lang w:eastAsia="it-IT"/>
        </w:rPr>
        <w:t xml:space="preserve"> alla voce “crediti dell'attivo circolante” non rileva alcun credito con durata residua superiore a cinque anni per nessuna delle società consolidate in quanto sono crediti tutti esigibili entro l'esercizio successivo.</w:t>
      </w:r>
    </w:p>
    <w:p w:rsidR="00783330" w:rsidRPr="00783330" w:rsidRDefault="00783330" w:rsidP="00783330">
      <w:pPr>
        <w:widowControl w:val="0"/>
        <w:spacing w:after="0" w:line="360" w:lineRule="auto"/>
        <w:jc w:val="both"/>
        <w:rPr>
          <w:rFonts w:ascii="Arial" w:eastAsia="Arial" w:hAnsi="Arial" w:cs="Arial"/>
          <w:color w:val="000000"/>
          <w:sz w:val="20"/>
          <w:szCs w:val="20"/>
          <w:lang w:eastAsia="it-IT"/>
        </w:rPr>
      </w:pPr>
      <w:r w:rsidRPr="00783330">
        <w:rPr>
          <w:rFonts w:ascii="Arial" w:eastAsia="Arial" w:hAnsi="Arial" w:cs="Arial"/>
          <w:color w:val="000000"/>
          <w:sz w:val="20"/>
          <w:szCs w:val="20"/>
          <w:lang w:eastAsia="it-IT"/>
        </w:rPr>
        <w:t>Per quanto riguarda i crediti verso contribuenti del Comune, non rileva alcun credito con durata residua superiore a cinque anni, in quanto sono crediti tutti esigibili entro l'esercizio successivo.</w:t>
      </w:r>
    </w:p>
    <w:p w:rsidR="00783330" w:rsidRPr="00783330" w:rsidRDefault="00783330" w:rsidP="00783330">
      <w:pPr>
        <w:widowControl w:val="0"/>
        <w:spacing w:after="0" w:line="360" w:lineRule="auto"/>
        <w:jc w:val="both"/>
        <w:rPr>
          <w:rFonts w:ascii="Arial" w:eastAsia="Arial" w:hAnsi="Arial" w:cs="Arial"/>
          <w:color w:val="000000"/>
          <w:sz w:val="20"/>
          <w:szCs w:val="20"/>
          <w:lang w:eastAsia="it-IT"/>
        </w:rPr>
      </w:pPr>
      <w:r w:rsidRPr="00783330">
        <w:rPr>
          <w:rFonts w:ascii="Arial" w:eastAsia="Arial" w:hAnsi="Arial" w:cs="Arial"/>
          <w:color w:val="000000"/>
          <w:sz w:val="20"/>
          <w:szCs w:val="20"/>
          <w:lang w:eastAsia="it-IT"/>
        </w:rPr>
        <w:t>Nell'attivo circolante, la voce crediti accoglie i crediti di natura commerciale o d'altra natura non rientranti nella casistica prevista nelle immobilizzazioni finanziarie.</w:t>
      </w:r>
    </w:p>
    <w:p w:rsidR="00783330" w:rsidRDefault="00783330" w:rsidP="00783330">
      <w:pPr>
        <w:widowControl w:val="0"/>
        <w:spacing w:after="0" w:line="360" w:lineRule="auto"/>
        <w:jc w:val="both"/>
        <w:rPr>
          <w:rFonts w:ascii="Arial" w:eastAsia="Arial" w:hAnsi="Arial" w:cs="Arial"/>
          <w:color w:val="000000"/>
          <w:sz w:val="20"/>
          <w:szCs w:val="20"/>
          <w:lang w:eastAsia="it-IT"/>
        </w:rPr>
      </w:pPr>
      <w:r w:rsidRPr="00783330">
        <w:rPr>
          <w:rFonts w:ascii="Arial" w:eastAsia="Arial" w:hAnsi="Arial" w:cs="Arial"/>
          <w:color w:val="000000"/>
          <w:sz w:val="20"/>
          <w:szCs w:val="20"/>
          <w:lang w:eastAsia="it-IT"/>
        </w:rPr>
        <w:t>Per effetto delle operazioni di consolidamento sono stati elisi i valori di credito/debito con le partecipate al gruppo di consolidamento.</w:t>
      </w:r>
    </w:p>
    <w:p w:rsidR="006B7A99" w:rsidRPr="00783330" w:rsidRDefault="006B7A99" w:rsidP="00783330">
      <w:pPr>
        <w:widowControl w:val="0"/>
        <w:spacing w:after="0" w:line="360" w:lineRule="auto"/>
        <w:jc w:val="both"/>
        <w:rPr>
          <w:rFonts w:ascii="Arial" w:eastAsia="Arial" w:hAnsi="Arial" w:cs="Arial"/>
          <w:color w:val="000000"/>
          <w:sz w:val="20"/>
          <w:szCs w:val="20"/>
          <w:lang w:eastAsia="it-IT"/>
        </w:rPr>
      </w:pPr>
    </w:p>
    <w:p w:rsidR="00783330" w:rsidRPr="00783330" w:rsidRDefault="00783330" w:rsidP="00783330">
      <w:pPr>
        <w:keepNext/>
        <w:keepLines/>
        <w:widowControl w:val="0"/>
        <w:spacing w:after="0" w:line="360" w:lineRule="auto"/>
        <w:outlineLvl w:val="2"/>
        <w:rPr>
          <w:rFonts w:ascii="Arial" w:eastAsia="Arial" w:hAnsi="Arial" w:cs="Arial"/>
          <w:b/>
          <w:bCs/>
          <w:color w:val="000000"/>
          <w:sz w:val="20"/>
          <w:szCs w:val="20"/>
          <w:lang w:eastAsia="it-IT"/>
        </w:rPr>
      </w:pPr>
      <w:bookmarkStart w:id="2" w:name="bookmark15"/>
      <w:r w:rsidRPr="00783330">
        <w:rPr>
          <w:rFonts w:ascii="Arial" w:eastAsia="Arial" w:hAnsi="Arial" w:cs="Arial"/>
          <w:b/>
          <w:bCs/>
          <w:color w:val="000000"/>
          <w:sz w:val="20"/>
          <w:szCs w:val="20"/>
          <w:lang w:eastAsia="it-IT"/>
        </w:rPr>
        <w:lastRenderedPageBreak/>
        <w:t>PASSIVITA’</w:t>
      </w:r>
      <w:bookmarkEnd w:id="2"/>
    </w:p>
    <w:p w:rsidR="00783330" w:rsidRPr="00783330" w:rsidRDefault="00783330" w:rsidP="00783330">
      <w:pPr>
        <w:widowControl w:val="0"/>
        <w:spacing w:after="0" w:line="360" w:lineRule="auto"/>
        <w:jc w:val="both"/>
        <w:rPr>
          <w:rFonts w:ascii="Arial" w:eastAsia="Arial" w:hAnsi="Arial" w:cs="Arial"/>
          <w:color w:val="000000"/>
          <w:sz w:val="20"/>
          <w:szCs w:val="20"/>
          <w:lang w:eastAsia="it-IT"/>
        </w:rPr>
      </w:pPr>
      <w:r w:rsidRPr="00783330">
        <w:rPr>
          <w:rFonts w:ascii="Arial" w:eastAsia="Arial" w:hAnsi="Arial" w:cs="Arial"/>
          <w:color w:val="000000"/>
          <w:sz w:val="20"/>
          <w:szCs w:val="20"/>
          <w:lang w:eastAsia="it-IT"/>
        </w:rPr>
        <w:t>Il patrimonio netto misura il valore dei mezzi propri dell'ente, ottenuto quale differenza tra le attività e le passività patrimoniali.</w:t>
      </w:r>
    </w:p>
    <w:p w:rsidR="00783330" w:rsidRPr="00783330" w:rsidRDefault="00783330" w:rsidP="00783330">
      <w:pPr>
        <w:widowControl w:val="0"/>
        <w:spacing w:after="0" w:line="360" w:lineRule="auto"/>
        <w:jc w:val="both"/>
        <w:rPr>
          <w:rFonts w:ascii="Arial" w:eastAsia="Arial" w:hAnsi="Arial" w:cs="Arial"/>
          <w:color w:val="000000"/>
          <w:sz w:val="20"/>
          <w:szCs w:val="20"/>
          <w:lang w:eastAsia="it-IT"/>
        </w:rPr>
      </w:pPr>
      <w:r w:rsidRPr="00783330">
        <w:rPr>
          <w:rFonts w:ascii="Arial" w:eastAsia="Arial" w:hAnsi="Arial" w:cs="Arial"/>
          <w:color w:val="000000"/>
          <w:sz w:val="20"/>
          <w:szCs w:val="20"/>
          <w:lang w:eastAsia="it-IT"/>
        </w:rPr>
        <w:t xml:space="preserve">La voce debiti comprende principalmente l'importo di €. </w:t>
      </w:r>
      <w:r w:rsidR="00DC783C" w:rsidRPr="00DC783C">
        <w:rPr>
          <w:rFonts w:ascii="Arial" w:eastAsia="Arial" w:hAnsi="Arial" w:cs="Arial"/>
          <w:color w:val="000000"/>
          <w:sz w:val="20"/>
          <w:szCs w:val="20"/>
          <w:lang w:eastAsia="it-IT"/>
        </w:rPr>
        <w:t>3.884.787</w:t>
      </w:r>
      <w:r w:rsidRPr="00783330">
        <w:rPr>
          <w:rFonts w:ascii="Arial" w:eastAsia="Arial" w:hAnsi="Arial" w:cs="Arial"/>
          <w:color w:val="000000"/>
          <w:sz w:val="20"/>
          <w:szCs w:val="20"/>
          <w:lang w:eastAsia="it-IT"/>
        </w:rPr>
        <w:t xml:space="preserve"> riferiti </w:t>
      </w:r>
      <w:r w:rsidR="00DC783C" w:rsidRPr="00DC783C">
        <w:rPr>
          <w:rFonts w:ascii="Arial" w:eastAsia="Arial" w:hAnsi="Arial" w:cs="Arial"/>
          <w:color w:val="000000"/>
          <w:sz w:val="20"/>
          <w:szCs w:val="20"/>
          <w:lang w:eastAsia="it-IT"/>
        </w:rPr>
        <w:t xml:space="preserve">a </w:t>
      </w:r>
      <w:r w:rsidRPr="00783330">
        <w:rPr>
          <w:rFonts w:ascii="Arial" w:eastAsia="Arial" w:hAnsi="Arial" w:cs="Arial"/>
          <w:color w:val="000000"/>
          <w:sz w:val="20"/>
          <w:szCs w:val="20"/>
          <w:lang w:eastAsia="it-IT"/>
        </w:rPr>
        <w:t>debiti per mutui</w:t>
      </w:r>
      <w:r w:rsidR="00DC783C" w:rsidRPr="00DC783C">
        <w:rPr>
          <w:rFonts w:ascii="Arial" w:eastAsia="Arial" w:hAnsi="Arial" w:cs="Arial"/>
          <w:color w:val="000000"/>
          <w:sz w:val="20"/>
          <w:szCs w:val="20"/>
          <w:lang w:eastAsia="it-IT"/>
        </w:rPr>
        <w:t xml:space="preserve"> del Comune di Salgareda</w:t>
      </w:r>
      <w:r w:rsidRPr="00783330">
        <w:rPr>
          <w:rFonts w:ascii="Arial" w:eastAsia="Arial" w:hAnsi="Arial" w:cs="Arial"/>
          <w:color w:val="000000"/>
          <w:sz w:val="20"/>
          <w:szCs w:val="20"/>
          <w:lang w:eastAsia="it-IT"/>
        </w:rPr>
        <w:t>.</w:t>
      </w:r>
    </w:p>
    <w:p w:rsidR="00783330" w:rsidRPr="00783330" w:rsidRDefault="00783330" w:rsidP="00783330">
      <w:pPr>
        <w:widowControl w:val="0"/>
        <w:spacing w:after="0" w:line="360" w:lineRule="auto"/>
        <w:jc w:val="both"/>
        <w:rPr>
          <w:rFonts w:ascii="Arial" w:eastAsia="Arial" w:hAnsi="Arial" w:cs="Arial"/>
          <w:color w:val="000000"/>
          <w:sz w:val="20"/>
          <w:szCs w:val="20"/>
          <w:lang w:eastAsia="it-IT"/>
        </w:rPr>
      </w:pPr>
      <w:r w:rsidRPr="00783330">
        <w:rPr>
          <w:rFonts w:ascii="Arial" w:eastAsia="Arial" w:hAnsi="Arial" w:cs="Arial"/>
          <w:color w:val="000000"/>
          <w:sz w:val="20"/>
          <w:szCs w:val="20"/>
          <w:lang w:eastAsia="it-IT"/>
        </w:rPr>
        <w:t>Anche i debiti, come per i crediti, sono state effettuate le opportune operazioni di elisione tra le società rientranti nel perimetro di consolidamento al fine di ottenere come risultato solo i debiti non scaduti nei confronti dei terzi.</w:t>
      </w:r>
    </w:p>
    <w:p w:rsidR="00681BDC" w:rsidRDefault="00681BDC" w:rsidP="00CB73FA">
      <w:pPr>
        <w:jc w:val="both"/>
        <w:rPr>
          <w:rFonts w:ascii="Arial" w:hAnsi="Arial" w:cs="Arial"/>
          <w:b/>
          <w:sz w:val="20"/>
          <w:szCs w:val="20"/>
        </w:rPr>
      </w:pPr>
    </w:p>
    <w:p w:rsidR="000A188E" w:rsidRPr="00D2796A" w:rsidRDefault="000A188E" w:rsidP="00CB73FA">
      <w:pPr>
        <w:jc w:val="center"/>
        <w:rPr>
          <w:rFonts w:ascii="Helvetica-Bold" w:hAnsi="Helvetica-Bold" w:cs="Helvetica-Bold"/>
          <w:b/>
          <w:bCs/>
          <w:sz w:val="20"/>
          <w:szCs w:val="20"/>
        </w:rPr>
      </w:pPr>
      <w:r w:rsidRPr="00D2796A">
        <w:rPr>
          <w:rFonts w:ascii="Helvetica-Bold" w:hAnsi="Helvetica-Bold" w:cs="Helvetica-Bold"/>
          <w:b/>
          <w:bCs/>
          <w:sz w:val="20"/>
          <w:szCs w:val="20"/>
        </w:rPr>
        <w:t>CONSOLIDAMENTO</w:t>
      </w:r>
    </w:p>
    <w:p w:rsidR="000A188E" w:rsidRDefault="000A188E" w:rsidP="00CB73FA">
      <w:pPr>
        <w:autoSpaceDE w:val="0"/>
        <w:autoSpaceDN w:val="0"/>
        <w:adjustRightInd w:val="0"/>
        <w:spacing w:after="0" w:line="240" w:lineRule="auto"/>
        <w:jc w:val="center"/>
        <w:rPr>
          <w:rFonts w:ascii="Helvetica-Bold" w:hAnsi="Helvetica-Bold" w:cs="Helvetica-Bold"/>
          <w:b/>
          <w:bCs/>
          <w:sz w:val="18"/>
          <w:szCs w:val="18"/>
        </w:rPr>
      </w:pPr>
      <w:r w:rsidRPr="00D2796A">
        <w:rPr>
          <w:rFonts w:ascii="Helvetica-Bold" w:hAnsi="Helvetica-Bold" w:cs="Helvetica-Bold"/>
          <w:b/>
          <w:bCs/>
          <w:sz w:val="18"/>
          <w:szCs w:val="18"/>
        </w:rPr>
        <w:t>DATI DI BILANCIO ANNO 2015</w:t>
      </w:r>
    </w:p>
    <w:p w:rsidR="000A188E" w:rsidRDefault="000A188E" w:rsidP="00CB73FA">
      <w:pPr>
        <w:autoSpaceDE w:val="0"/>
        <w:autoSpaceDN w:val="0"/>
        <w:adjustRightInd w:val="0"/>
        <w:spacing w:after="0" w:line="240" w:lineRule="auto"/>
        <w:jc w:val="both"/>
        <w:rPr>
          <w:rFonts w:ascii="Helvetica-Bold" w:hAnsi="Helvetica-Bold" w:cs="Helvetica-Bold"/>
          <w:b/>
          <w:bCs/>
          <w:sz w:val="20"/>
          <w:szCs w:val="20"/>
        </w:rPr>
      </w:pPr>
    </w:p>
    <w:p w:rsidR="000103AD" w:rsidRDefault="00901501" w:rsidP="00CB73FA">
      <w:pPr>
        <w:autoSpaceDE w:val="0"/>
        <w:autoSpaceDN w:val="0"/>
        <w:adjustRightInd w:val="0"/>
        <w:spacing w:after="0" w:line="240" w:lineRule="auto"/>
        <w:jc w:val="both"/>
        <w:rPr>
          <w:rFonts w:ascii="Helvetica-Bold" w:hAnsi="Helvetica-Bold" w:cs="Helvetica-Bold"/>
          <w:b/>
          <w:bCs/>
          <w:sz w:val="20"/>
          <w:szCs w:val="20"/>
        </w:rPr>
      </w:pPr>
      <w:r w:rsidRPr="00901501">
        <w:rPr>
          <w:noProof/>
          <w:lang w:eastAsia="it-IT"/>
        </w:rPr>
        <w:drawing>
          <wp:inline distT="0" distB="0" distL="0" distR="0">
            <wp:extent cx="6117353" cy="3479470"/>
            <wp:effectExtent l="0" t="0" r="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6959" cy="3507685"/>
                    </a:xfrm>
                    <a:prstGeom prst="rect">
                      <a:avLst/>
                    </a:prstGeom>
                    <a:noFill/>
                    <a:ln>
                      <a:noFill/>
                    </a:ln>
                  </pic:spPr>
                </pic:pic>
              </a:graphicData>
            </a:graphic>
          </wp:inline>
        </w:drawing>
      </w:r>
    </w:p>
    <w:p w:rsidR="00527D31" w:rsidRDefault="00527D31" w:rsidP="00CB73FA">
      <w:pPr>
        <w:autoSpaceDE w:val="0"/>
        <w:autoSpaceDN w:val="0"/>
        <w:adjustRightInd w:val="0"/>
        <w:spacing w:after="0" w:line="240" w:lineRule="auto"/>
        <w:jc w:val="both"/>
        <w:rPr>
          <w:rFonts w:ascii="Helvetica-Bold" w:hAnsi="Helvetica-Bold" w:cs="Helvetica-Bold"/>
          <w:b/>
          <w:bCs/>
          <w:sz w:val="20"/>
          <w:szCs w:val="20"/>
        </w:rPr>
      </w:pPr>
    </w:p>
    <w:p w:rsidR="00901501" w:rsidRDefault="00901501" w:rsidP="00CB73FA">
      <w:pPr>
        <w:autoSpaceDE w:val="0"/>
        <w:autoSpaceDN w:val="0"/>
        <w:adjustRightInd w:val="0"/>
        <w:spacing w:after="0" w:line="240" w:lineRule="auto"/>
        <w:jc w:val="both"/>
        <w:rPr>
          <w:rFonts w:ascii="Helvetica-Bold" w:hAnsi="Helvetica-Bold" w:cs="Helvetica-Bold"/>
          <w:b/>
          <w:bCs/>
          <w:sz w:val="20"/>
          <w:szCs w:val="20"/>
        </w:rPr>
      </w:pPr>
    </w:p>
    <w:p w:rsidR="000A188E" w:rsidRPr="00CB73FA" w:rsidRDefault="00586BF1" w:rsidP="00CB73FA">
      <w:pPr>
        <w:autoSpaceDE w:val="0"/>
        <w:autoSpaceDN w:val="0"/>
        <w:adjustRightInd w:val="0"/>
        <w:spacing w:after="0" w:line="240" w:lineRule="auto"/>
        <w:jc w:val="both"/>
        <w:rPr>
          <w:rFonts w:ascii="Helvetica-Bold" w:hAnsi="Helvetica-Bold" w:cs="Helvetica-Bold"/>
          <w:b/>
          <w:bCs/>
          <w:sz w:val="20"/>
          <w:szCs w:val="20"/>
        </w:rPr>
      </w:pPr>
      <w:r>
        <w:rPr>
          <w:rFonts w:ascii="TT2C5t00" w:hAnsi="TT2C5t00" w:cs="TT2C5t00"/>
          <w:sz w:val="20"/>
          <w:szCs w:val="20"/>
        </w:rPr>
        <w:t>Eventuali maggiori informazioni sono reperibili dalla Note Integrative dei singoli soggetti, reperibili dai siti</w:t>
      </w:r>
      <w:r w:rsidR="00CB73FA">
        <w:rPr>
          <w:rFonts w:ascii="TT2C5t00" w:hAnsi="TT2C5t00" w:cs="TT2C5t00"/>
          <w:sz w:val="20"/>
          <w:szCs w:val="20"/>
        </w:rPr>
        <w:t xml:space="preserve"> </w:t>
      </w:r>
      <w:r>
        <w:rPr>
          <w:rFonts w:ascii="TT2C5t00" w:hAnsi="TT2C5t00" w:cs="TT2C5t00"/>
          <w:sz w:val="20"/>
          <w:szCs w:val="20"/>
        </w:rPr>
        <w:t>internet dei medesimi.</w:t>
      </w:r>
    </w:p>
    <w:p w:rsidR="00F346C6" w:rsidRPr="002D092D" w:rsidRDefault="00F346C6" w:rsidP="00CB73FA">
      <w:pPr>
        <w:jc w:val="both"/>
        <w:rPr>
          <w:rFonts w:ascii="Arial" w:hAnsi="Arial" w:cs="Arial"/>
          <w:sz w:val="20"/>
          <w:szCs w:val="20"/>
        </w:rPr>
      </w:pPr>
      <w:r w:rsidRPr="002D092D">
        <w:rPr>
          <w:rFonts w:ascii="Arial" w:hAnsi="Arial" w:cs="Arial"/>
          <w:sz w:val="20"/>
          <w:szCs w:val="20"/>
        </w:rPr>
        <w:t>Questa relazione è stata predisposta, oltre che obblighi di legge, anche per consentire una migliore comprensione dell’elaborazione del</w:t>
      </w:r>
      <w:r w:rsidR="00B23565" w:rsidRPr="002D092D">
        <w:rPr>
          <w:rFonts w:ascii="Arial" w:hAnsi="Arial" w:cs="Arial"/>
          <w:sz w:val="20"/>
          <w:szCs w:val="20"/>
        </w:rPr>
        <w:t>lo schema del</w:t>
      </w:r>
      <w:r w:rsidRPr="002D092D">
        <w:rPr>
          <w:rFonts w:ascii="Arial" w:hAnsi="Arial" w:cs="Arial"/>
          <w:sz w:val="20"/>
          <w:szCs w:val="20"/>
        </w:rPr>
        <w:t xml:space="preserve"> bilancio consolidato dell’esercizio 201</w:t>
      </w:r>
      <w:r w:rsidR="005566E6">
        <w:rPr>
          <w:rFonts w:ascii="Arial" w:hAnsi="Arial" w:cs="Arial"/>
          <w:sz w:val="20"/>
          <w:szCs w:val="20"/>
        </w:rPr>
        <w:t>5</w:t>
      </w:r>
      <w:r w:rsidRPr="002D092D">
        <w:rPr>
          <w:rFonts w:ascii="Arial" w:hAnsi="Arial" w:cs="Arial"/>
          <w:sz w:val="20"/>
          <w:szCs w:val="20"/>
        </w:rPr>
        <w:t xml:space="preserve"> che si allega alla presente come di seguito precisato:</w:t>
      </w:r>
    </w:p>
    <w:p w:rsidR="00F346C6" w:rsidRPr="002D092D" w:rsidRDefault="00F346C6" w:rsidP="00CB73FA">
      <w:pPr>
        <w:pStyle w:val="Paragrafoelenco"/>
        <w:numPr>
          <w:ilvl w:val="0"/>
          <w:numId w:val="10"/>
        </w:numPr>
        <w:ind w:left="0" w:firstLine="0"/>
        <w:jc w:val="both"/>
        <w:rPr>
          <w:rFonts w:ascii="Arial" w:hAnsi="Arial" w:cs="Arial"/>
          <w:sz w:val="20"/>
          <w:szCs w:val="20"/>
        </w:rPr>
      </w:pPr>
      <w:r w:rsidRPr="002D092D">
        <w:rPr>
          <w:rFonts w:ascii="Arial" w:hAnsi="Arial" w:cs="Arial"/>
          <w:sz w:val="20"/>
          <w:szCs w:val="20"/>
        </w:rPr>
        <w:t xml:space="preserve">stato patrimoniale attivo </w:t>
      </w:r>
      <w:r w:rsidR="00CB73FA">
        <w:rPr>
          <w:rFonts w:ascii="Arial" w:hAnsi="Arial" w:cs="Arial"/>
          <w:sz w:val="20"/>
          <w:szCs w:val="20"/>
        </w:rPr>
        <w:t>consolidato</w:t>
      </w:r>
      <w:r w:rsidRPr="002D092D">
        <w:rPr>
          <w:rFonts w:ascii="Arial" w:hAnsi="Arial" w:cs="Arial"/>
          <w:sz w:val="20"/>
          <w:szCs w:val="20"/>
        </w:rPr>
        <w:t>;</w:t>
      </w:r>
    </w:p>
    <w:p w:rsidR="00F346C6" w:rsidRPr="002D092D" w:rsidRDefault="00F346C6" w:rsidP="00CB73FA">
      <w:pPr>
        <w:pStyle w:val="Paragrafoelenco"/>
        <w:numPr>
          <w:ilvl w:val="0"/>
          <w:numId w:val="10"/>
        </w:numPr>
        <w:ind w:left="0" w:firstLine="0"/>
        <w:jc w:val="both"/>
        <w:rPr>
          <w:rFonts w:ascii="Arial" w:hAnsi="Arial" w:cs="Arial"/>
          <w:sz w:val="20"/>
          <w:szCs w:val="20"/>
        </w:rPr>
      </w:pPr>
      <w:r w:rsidRPr="002D092D">
        <w:rPr>
          <w:rFonts w:ascii="Arial" w:hAnsi="Arial" w:cs="Arial"/>
          <w:sz w:val="20"/>
          <w:szCs w:val="20"/>
        </w:rPr>
        <w:t>stato patrimoniale passivo e patrimonio netto consolidato;</w:t>
      </w:r>
    </w:p>
    <w:p w:rsidR="00F346C6" w:rsidRPr="002D092D" w:rsidRDefault="00F346C6" w:rsidP="00CB73FA">
      <w:pPr>
        <w:pStyle w:val="Paragrafoelenco"/>
        <w:numPr>
          <w:ilvl w:val="0"/>
          <w:numId w:val="10"/>
        </w:numPr>
        <w:ind w:left="0" w:firstLine="0"/>
        <w:jc w:val="both"/>
        <w:rPr>
          <w:rFonts w:ascii="Arial" w:hAnsi="Arial" w:cs="Arial"/>
          <w:sz w:val="20"/>
          <w:szCs w:val="20"/>
        </w:rPr>
      </w:pPr>
      <w:r w:rsidRPr="002D092D">
        <w:rPr>
          <w:rFonts w:ascii="Arial" w:hAnsi="Arial" w:cs="Arial"/>
          <w:sz w:val="20"/>
          <w:szCs w:val="20"/>
        </w:rPr>
        <w:t>conto economico consolidato.</w:t>
      </w:r>
    </w:p>
    <w:p w:rsidR="00F346C6" w:rsidRPr="002D092D" w:rsidRDefault="00F346C6" w:rsidP="00CB73FA">
      <w:pPr>
        <w:jc w:val="both"/>
        <w:rPr>
          <w:rFonts w:ascii="Arial" w:hAnsi="Arial" w:cs="Arial"/>
          <w:sz w:val="20"/>
          <w:szCs w:val="20"/>
        </w:rPr>
      </w:pPr>
    </w:p>
    <w:p w:rsidR="00D548AB" w:rsidRPr="002D092D" w:rsidRDefault="00CB73FA" w:rsidP="00CB73FA">
      <w:pPr>
        <w:jc w:val="both"/>
        <w:rPr>
          <w:rFonts w:ascii="Arial" w:hAnsi="Arial" w:cs="Arial"/>
          <w:sz w:val="20"/>
          <w:szCs w:val="20"/>
        </w:rPr>
      </w:pPr>
      <w:r>
        <w:rPr>
          <w:rFonts w:ascii="Arial" w:hAnsi="Arial" w:cs="Arial"/>
          <w:sz w:val="20"/>
          <w:szCs w:val="20"/>
        </w:rPr>
        <w:t>Salgareda</w:t>
      </w:r>
      <w:r w:rsidR="00B23565" w:rsidRPr="002D092D">
        <w:rPr>
          <w:rFonts w:ascii="Arial" w:hAnsi="Arial" w:cs="Arial"/>
          <w:sz w:val="20"/>
          <w:szCs w:val="20"/>
        </w:rPr>
        <w:t xml:space="preserve">, </w:t>
      </w:r>
      <w:r>
        <w:rPr>
          <w:rFonts w:ascii="Arial" w:hAnsi="Arial" w:cs="Arial"/>
          <w:sz w:val="20"/>
          <w:szCs w:val="20"/>
        </w:rPr>
        <w:t>30</w:t>
      </w:r>
      <w:r w:rsidR="00D30338" w:rsidRPr="002D092D">
        <w:rPr>
          <w:rFonts w:ascii="Arial" w:hAnsi="Arial" w:cs="Arial"/>
          <w:sz w:val="20"/>
          <w:szCs w:val="20"/>
        </w:rPr>
        <w:t>/</w:t>
      </w:r>
      <w:r w:rsidR="00FC6F4A">
        <w:rPr>
          <w:rFonts w:ascii="Arial" w:hAnsi="Arial" w:cs="Arial"/>
          <w:sz w:val="20"/>
          <w:szCs w:val="20"/>
        </w:rPr>
        <w:t>09</w:t>
      </w:r>
      <w:r w:rsidR="00D30338" w:rsidRPr="002D092D">
        <w:rPr>
          <w:rFonts w:ascii="Arial" w:hAnsi="Arial" w:cs="Arial"/>
          <w:sz w:val="20"/>
          <w:szCs w:val="20"/>
        </w:rPr>
        <w:t>/</w:t>
      </w:r>
      <w:r w:rsidR="00B23565" w:rsidRPr="002D092D">
        <w:rPr>
          <w:rFonts w:ascii="Arial" w:hAnsi="Arial" w:cs="Arial"/>
          <w:sz w:val="20"/>
          <w:szCs w:val="20"/>
        </w:rPr>
        <w:t>20</w:t>
      </w:r>
      <w:r w:rsidR="00FC6F4A">
        <w:rPr>
          <w:rFonts w:ascii="Arial" w:hAnsi="Arial" w:cs="Arial"/>
          <w:sz w:val="20"/>
          <w:szCs w:val="20"/>
        </w:rPr>
        <w:t>16</w:t>
      </w:r>
    </w:p>
    <w:sectPr w:rsidR="00D548AB" w:rsidRPr="002D092D">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B43" w:rsidRDefault="009D4B43" w:rsidP="00670C33">
      <w:pPr>
        <w:spacing w:after="0" w:line="240" w:lineRule="auto"/>
      </w:pPr>
      <w:r>
        <w:separator/>
      </w:r>
    </w:p>
  </w:endnote>
  <w:endnote w:type="continuationSeparator" w:id="0">
    <w:p w:rsidR="009D4B43" w:rsidRDefault="009D4B43" w:rsidP="0067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njoman Open Bold">
    <w:altName w:val="Tw Cen MT Condensed Extra Bold"/>
    <w:charset w:val="00"/>
    <w:family w:val="swiss"/>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2C5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B43" w:rsidRDefault="009D4B43" w:rsidP="00670C33">
      <w:pPr>
        <w:spacing w:after="0" w:line="240" w:lineRule="auto"/>
      </w:pPr>
      <w:r>
        <w:separator/>
      </w:r>
    </w:p>
  </w:footnote>
  <w:footnote w:type="continuationSeparator" w:id="0">
    <w:p w:rsidR="009D4B43" w:rsidRDefault="009D4B43" w:rsidP="00670C33">
      <w:pPr>
        <w:spacing w:after="0" w:line="240" w:lineRule="auto"/>
      </w:pPr>
      <w:r>
        <w:continuationSeparator/>
      </w:r>
    </w:p>
  </w:footnote>
  <w:footnote w:id="1">
    <w:p w:rsidR="005566E6" w:rsidRPr="00670C33" w:rsidRDefault="005566E6" w:rsidP="00670C33">
      <w:pPr>
        <w:pStyle w:val="Testonotaapidipagina"/>
        <w:jc w:val="both"/>
        <w:rPr>
          <w:rFonts w:ascii="Courier New" w:hAnsi="Courier New" w:cs="Courier New"/>
          <w:sz w:val="16"/>
          <w:szCs w:val="16"/>
        </w:rPr>
      </w:pPr>
      <w:r w:rsidRPr="00670C33">
        <w:rPr>
          <w:rStyle w:val="Rimandonotaapidipagina"/>
          <w:rFonts w:ascii="Courier New" w:hAnsi="Courier New" w:cs="Courier New"/>
          <w:sz w:val="16"/>
          <w:szCs w:val="16"/>
        </w:rPr>
        <w:footnoteRef/>
      </w:r>
      <w:r w:rsidRPr="00670C33">
        <w:rPr>
          <w:rFonts w:ascii="Courier New" w:hAnsi="Courier New" w:cs="Courier New"/>
          <w:sz w:val="16"/>
          <w:szCs w:val="16"/>
        </w:rPr>
        <w:t xml:space="preserve"> Il riferimento normativo all’art. 170, comma 6, del D.Lgs. n. 267/2000 attiene alle disposizioni del testo unico prima delle modifiche di cui all’art. 74, comma 1, numero 19), del D.Lgs. n. 126/2014. Deve dunque ritenersi vigente il 2° comma dell’art. 147-quater del D.Lgs. n. 267/2000, tralascian</w:t>
      </w:r>
      <w:r>
        <w:rPr>
          <w:rFonts w:ascii="Courier New" w:hAnsi="Courier New" w:cs="Courier New"/>
          <w:sz w:val="16"/>
          <w:szCs w:val="16"/>
        </w:rPr>
        <w:t>do il mero riferimento normativo all’art. 170, comma 6, del testo unico stesso.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82970"/>
      <w:docPartObj>
        <w:docPartGallery w:val="Page Numbers (Margins)"/>
        <w:docPartUnique/>
      </w:docPartObj>
    </w:sdtPr>
    <w:sdtEndPr/>
    <w:sdtContent>
      <w:p w:rsidR="005566E6" w:rsidRDefault="005566E6">
        <w:pPr>
          <w:pStyle w:val="Intestazione"/>
        </w:pPr>
        <w:r>
          <w:rPr>
            <w:noProof/>
            <w:lang w:eastAsia="it-IT"/>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6E6" w:rsidRPr="000A2144" w:rsidRDefault="005566E6" w:rsidP="000A2144">
                              <w:pPr>
                                <w:pBdr>
                                  <w:bottom w:val="single" w:sz="4" w:space="1" w:color="auto"/>
                                </w:pBdr>
                                <w:jc w:val="center"/>
                                <w:rPr>
                                  <w:rFonts w:ascii="Tahoma" w:hAnsi="Tahoma" w:cs="Tahoma"/>
                                  <w:sz w:val="16"/>
                                  <w:szCs w:val="16"/>
                                </w:rPr>
                              </w:pPr>
                              <w:r w:rsidRPr="000A2144">
                                <w:rPr>
                                  <w:rFonts w:ascii="Tahoma" w:hAnsi="Tahoma" w:cs="Tahoma"/>
                                  <w:sz w:val="16"/>
                                  <w:szCs w:val="16"/>
                                </w:rPr>
                                <w:fldChar w:fldCharType="begin"/>
                              </w:r>
                              <w:r w:rsidRPr="000A2144">
                                <w:rPr>
                                  <w:rFonts w:ascii="Tahoma" w:hAnsi="Tahoma" w:cs="Tahoma"/>
                                  <w:sz w:val="16"/>
                                  <w:szCs w:val="16"/>
                                </w:rPr>
                                <w:instrText>PAGE   \* MERGEFORMAT</w:instrText>
                              </w:r>
                              <w:r w:rsidRPr="000A2144">
                                <w:rPr>
                                  <w:rFonts w:ascii="Tahoma" w:hAnsi="Tahoma" w:cs="Tahoma"/>
                                  <w:sz w:val="16"/>
                                  <w:szCs w:val="16"/>
                                </w:rPr>
                                <w:fldChar w:fldCharType="separate"/>
                              </w:r>
                              <w:r w:rsidR="003F55D1">
                                <w:rPr>
                                  <w:rFonts w:ascii="Tahoma" w:hAnsi="Tahoma" w:cs="Tahoma"/>
                                  <w:noProof/>
                                  <w:sz w:val="16"/>
                                  <w:szCs w:val="16"/>
                                </w:rPr>
                                <w:t>1</w:t>
                              </w:r>
                              <w:r w:rsidRPr="000A2144">
                                <w:rPr>
                                  <w:rFonts w:ascii="Tahoma" w:hAnsi="Tahoma" w:cs="Tahom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3"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" o:allowincell="f" stroked="f">
                  <v:textbox>
                    <w:txbxContent>
                      <w:p w:rsidR="005566E6" w:rsidRPr="000A2144" w:rsidRDefault="005566E6" w:rsidP="000A2144">
                        <w:pPr>
                          <w:pBdr>
                            <w:bottom w:val="single" w:sz="4" w:space="1" w:color="auto"/>
                          </w:pBdr>
                          <w:jc w:val="center"/>
                          <w:rPr>
                            <w:rFonts w:ascii="Tahoma" w:hAnsi="Tahoma" w:cs="Tahoma"/>
                            <w:sz w:val="16"/>
                            <w:szCs w:val="16"/>
                          </w:rPr>
                        </w:pPr>
                        <w:r w:rsidRPr="000A2144">
                          <w:rPr>
                            <w:rFonts w:ascii="Tahoma" w:hAnsi="Tahoma" w:cs="Tahoma"/>
                            <w:sz w:val="16"/>
                            <w:szCs w:val="16"/>
                          </w:rPr>
                          <w:fldChar w:fldCharType="begin"/>
                        </w:r>
                        <w:r w:rsidRPr="000A2144">
                          <w:rPr>
                            <w:rFonts w:ascii="Tahoma" w:hAnsi="Tahoma" w:cs="Tahoma"/>
                            <w:sz w:val="16"/>
                            <w:szCs w:val="16"/>
                          </w:rPr>
                          <w:instrText>PAGE   \* MERGEFORMAT</w:instrText>
                        </w:r>
                        <w:r w:rsidRPr="000A2144">
                          <w:rPr>
                            <w:rFonts w:ascii="Tahoma" w:hAnsi="Tahoma" w:cs="Tahoma"/>
                            <w:sz w:val="16"/>
                            <w:szCs w:val="16"/>
                          </w:rPr>
                          <w:fldChar w:fldCharType="separate"/>
                        </w:r>
                        <w:r w:rsidR="003F55D1">
                          <w:rPr>
                            <w:rFonts w:ascii="Tahoma" w:hAnsi="Tahoma" w:cs="Tahoma"/>
                            <w:noProof/>
                            <w:sz w:val="16"/>
                            <w:szCs w:val="16"/>
                          </w:rPr>
                          <w:t>1</w:t>
                        </w:r>
                        <w:r w:rsidRPr="000A2144">
                          <w:rPr>
                            <w:rFonts w:ascii="Tahoma" w:hAnsi="Tahoma" w:cs="Tahoma"/>
                            <w:sz w:val="16"/>
                            <w:szCs w:val="16"/>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5BA"/>
    <w:multiLevelType w:val="hybridMultilevel"/>
    <w:tmpl w:val="717407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E21C01"/>
    <w:multiLevelType w:val="hybridMultilevel"/>
    <w:tmpl w:val="2ABE2F52"/>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AB00146"/>
    <w:multiLevelType w:val="hybridMultilevel"/>
    <w:tmpl w:val="2A9AAF8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1DC11CA1"/>
    <w:multiLevelType w:val="hybridMultilevel"/>
    <w:tmpl w:val="E72AC61A"/>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20E63EA0"/>
    <w:multiLevelType w:val="hybridMultilevel"/>
    <w:tmpl w:val="81F8656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2B286B98"/>
    <w:multiLevelType w:val="multilevel"/>
    <w:tmpl w:val="0E4248C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4C308D"/>
    <w:multiLevelType w:val="hybridMultilevel"/>
    <w:tmpl w:val="85A4811C"/>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58143219"/>
    <w:multiLevelType w:val="hybridMultilevel"/>
    <w:tmpl w:val="396C61FE"/>
    <w:lvl w:ilvl="0" w:tplc="B664D1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5771A1D"/>
    <w:multiLevelType w:val="hybridMultilevel"/>
    <w:tmpl w:val="010C8B5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7B386012"/>
    <w:multiLevelType w:val="hybridMultilevel"/>
    <w:tmpl w:val="C8F054C2"/>
    <w:lvl w:ilvl="0" w:tplc="04100011">
      <w:start w:val="1"/>
      <w:numFmt w:val="decimal"/>
      <w:lvlText w:val="%1)"/>
      <w:lvlJc w:val="left"/>
      <w:pPr>
        <w:ind w:left="1429"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7"/>
  </w:num>
  <w:num w:numId="4">
    <w:abstractNumId w:val="0"/>
  </w:num>
  <w:num w:numId="5">
    <w:abstractNumId w:val="2"/>
  </w:num>
  <w:num w:numId="6">
    <w:abstractNumId w:val="8"/>
  </w:num>
  <w:num w:numId="7">
    <w:abstractNumId w:val="6"/>
  </w:num>
  <w:num w:numId="8">
    <w:abstractNumId w:val="3"/>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03"/>
    <w:rsid w:val="000103AD"/>
    <w:rsid w:val="00024DCB"/>
    <w:rsid w:val="00060368"/>
    <w:rsid w:val="000A188E"/>
    <w:rsid w:val="000A2144"/>
    <w:rsid w:val="000A50C5"/>
    <w:rsid w:val="00104727"/>
    <w:rsid w:val="00132CAC"/>
    <w:rsid w:val="00165E02"/>
    <w:rsid w:val="00167ADD"/>
    <w:rsid w:val="001A2BBC"/>
    <w:rsid w:val="001B7AC6"/>
    <w:rsid w:val="001B7F79"/>
    <w:rsid w:val="0020383F"/>
    <w:rsid w:val="00223698"/>
    <w:rsid w:val="00265E1A"/>
    <w:rsid w:val="002A48F7"/>
    <w:rsid w:val="002B09D1"/>
    <w:rsid w:val="002D092D"/>
    <w:rsid w:val="00301F03"/>
    <w:rsid w:val="00333B57"/>
    <w:rsid w:val="003822C0"/>
    <w:rsid w:val="003B36E4"/>
    <w:rsid w:val="003E7814"/>
    <w:rsid w:val="003F55D1"/>
    <w:rsid w:val="00440990"/>
    <w:rsid w:val="00464C75"/>
    <w:rsid w:val="004D40A7"/>
    <w:rsid w:val="004D4F8B"/>
    <w:rsid w:val="004F6A3E"/>
    <w:rsid w:val="00527D31"/>
    <w:rsid w:val="005566E6"/>
    <w:rsid w:val="00565042"/>
    <w:rsid w:val="00586BF1"/>
    <w:rsid w:val="005A00DB"/>
    <w:rsid w:val="005D45E0"/>
    <w:rsid w:val="005D482F"/>
    <w:rsid w:val="005E4EE7"/>
    <w:rsid w:val="005E66AA"/>
    <w:rsid w:val="00630BBE"/>
    <w:rsid w:val="00632186"/>
    <w:rsid w:val="00647326"/>
    <w:rsid w:val="0066222A"/>
    <w:rsid w:val="00670C33"/>
    <w:rsid w:val="00681BDC"/>
    <w:rsid w:val="006934D1"/>
    <w:rsid w:val="006B188F"/>
    <w:rsid w:val="006B25B4"/>
    <w:rsid w:val="006B7A99"/>
    <w:rsid w:val="006C19A5"/>
    <w:rsid w:val="006F1756"/>
    <w:rsid w:val="00746ED6"/>
    <w:rsid w:val="00783330"/>
    <w:rsid w:val="007C0467"/>
    <w:rsid w:val="0081529D"/>
    <w:rsid w:val="008475B5"/>
    <w:rsid w:val="008C1341"/>
    <w:rsid w:val="008D7477"/>
    <w:rsid w:val="00901501"/>
    <w:rsid w:val="00912EB9"/>
    <w:rsid w:val="0092277D"/>
    <w:rsid w:val="00931B2E"/>
    <w:rsid w:val="00933EDD"/>
    <w:rsid w:val="00964891"/>
    <w:rsid w:val="009B4697"/>
    <w:rsid w:val="009D4B43"/>
    <w:rsid w:val="009E637A"/>
    <w:rsid w:val="00A2333B"/>
    <w:rsid w:val="00A81F61"/>
    <w:rsid w:val="00A95AD3"/>
    <w:rsid w:val="00AB03F1"/>
    <w:rsid w:val="00AD1CB6"/>
    <w:rsid w:val="00B20037"/>
    <w:rsid w:val="00B23565"/>
    <w:rsid w:val="00B25BB6"/>
    <w:rsid w:val="00B621EF"/>
    <w:rsid w:val="00B868DF"/>
    <w:rsid w:val="00B917C9"/>
    <w:rsid w:val="00BC25C5"/>
    <w:rsid w:val="00BD272B"/>
    <w:rsid w:val="00BD51A4"/>
    <w:rsid w:val="00C55648"/>
    <w:rsid w:val="00C81A32"/>
    <w:rsid w:val="00CA0CE8"/>
    <w:rsid w:val="00CA30F5"/>
    <w:rsid w:val="00CB73FA"/>
    <w:rsid w:val="00CF4A6E"/>
    <w:rsid w:val="00D2023D"/>
    <w:rsid w:val="00D2796A"/>
    <w:rsid w:val="00D30338"/>
    <w:rsid w:val="00D50313"/>
    <w:rsid w:val="00D548AB"/>
    <w:rsid w:val="00D56F54"/>
    <w:rsid w:val="00D87FE2"/>
    <w:rsid w:val="00DC393F"/>
    <w:rsid w:val="00DC783C"/>
    <w:rsid w:val="00DD1B3F"/>
    <w:rsid w:val="00DD1E3E"/>
    <w:rsid w:val="00E12950"/>
    <w:rsid w:val="00E16A97"/>
    <w:rsid w:val="00E845DD"/>
    <w:rsid w:val="00EF11AF"/>
    <w:rsid w:val="00F346C6"/>
    <w:rsid w:val="00F82109"/>
    <w:rsid w:val="00F92CE4"/>
    <w:rsid w:val="00F970C9"/>
    <w:rsid w:val="00FB519B"/>
    <w:rsid w:val="00FC11F2"/>
    <w:rsid w:val="00FC6F4A"/>
    <w:rsid w:val="00FF20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0835AC-2EA9-46F3-96E3-E76D900D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1F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AB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AB03F1"/>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AB03F1"/>
    <w:rPr>
      <w:b/>
      <w:bCs/>
    </w:rPr>
  </w:style>
  <w:style w:type="paragraph" w:styleId="Paragrafoelenco">
    <w:name w:val="List Paragraph"/>
    <w:basedOn w:val="Normale"/>
    <w:uiPriority w:val="34"/>
    <w:qFormat/>
    <w:rsid w:val="001A2BBC"/>
    <w:pPr>
      <w:ind w:left="720"/>
      <w:contextualSpacing/>
    </w:pPr>
  </w:style>
  <w:style w:type="paragraph" w:styleId="Corpotesto">
    <w:name w:val="Body Text"/>
    <w:basedOn w:val="Normale"/>
    <w:link w:val="CorpotestoCarattere"/>
    <w:rsid w:val="00DD1B3F"/>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rsid w:val="00DD1B3F"/>
    <w:rPr>
      <w:rFonts w:ascii="Arial" w:eastAsia="Times New Roman" w:hAnsi="Arial" w:cs="Times New Roman"/>
      <w:sz w:val="24"/>
      <w:szCs w:val="20"/>
      <w:lang w:eastAsia="it-IT"/>
    </w:rPr>
  </w:style>
  <w:style w:type="paragraph" w:styleId="Testofumetto">
    <w:name w:val="Balloon Text"/>
    <w:basedOn w:val="Normale"/>
    <w:link w:val="TestofumettoCarattere"/>
    <w:uiPriority w:val="99"/>
    <w:semiHidden/>
    <w:unhideWhenUsed/>
    <w:rsid w:val="005A00D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00DB"/>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670C3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70C33"/>
    <w:rPr>
      <w:sz w:val="20"/>
      <w:szCs w:val="20"/>
    </w:rPr>
  </w:style>
  <w:style w:type="character" w:styleId="Rimandonotaapidipagina">
    <w:name w:val="footnote reference"/>
    <w:basedOn w:val="Carpredefinitoparagrafo"/>
    <w:uiPriority w:val="99"/>
    <w:semiHidden/>
    <w:unhideWhenUsed/>
    <w:rsid w:val="00670C33"/>
    <w:rPr>
      <w:vertAlign w:val="superscript"/>
    </w:rPr>
  </w:style>
  <w:style w:type="paragraph" w:styleId="Intestazione">
    <w:name w:val="header"/>
    <w:basedOn w:val="Normale"/>
    <w:link w:val="IntestazioneCarattere"/>
    <w:uiPriority w:val="99"/>
    <w:unhideWhenUsed/>
    <w:rsid w:val="000A21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2144"/>
  </w:style>
  <w:style w:type="paragraph" w:styleId="Pidipagina">
    <w:name w:val="footer"/>
    <w:basedOn w:val="Normale"/>
    <w:link w:val="PidipaginaCarattere"/>
    <w:uiPriority w:val="99"/>
    <w:unhideWhenUsed/>
    <w:rsid w:val="000A21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2144"/>
  </w:style>
  <w:style w:type="table" w:styleId="Grigliatabella">
    <w:name w:val="Table Grid"/>
    <w:basedOn w:val="Tabellanormale"/>
    <w:uiPriority w:val="39"/>
    <w:rsid w:val="000A1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44982">
      <w:bodyDiv w:val="1"/>
      <w:marLeft w:val="0"/>
      <w:marRight w:val="0"/>
      <w:marTop w:val="0"/>
      <w:marBottom w:val="0"/>
      <w:divBdr>
        <w:top w:val="none" w:sz="0" w:space="0" w:color="auto"/>
        <w:left w:val="none" w:sz="0" w:space="0" w:color="auto"/>
        <w:bottom w:val="none" w:sz="0" w:space="0" w:color="auto"/>
        <w:right w:val="none" w:sz="0" w:space="0" w:color="auto"/>
      </w:divBdr>
    </w:div>
    <w:div w:id="456408623">
      <w:bodyDiv w:val="1"/>
      <w:marLeft w:val="0"/>
      <w:marRight w:val="0"/>
      <w:marTop w:val="0"/>
      <w:marBottom w:val="0"/>
      <w:divBdr>
        <w:top w:val="none" w:sz="0" w:space="0" w:color="auto"/>
        <w:left w:val="none" w:sz="0" w:space="0" w:color="auto"/>
        <w:bottom w:val="none" w:sz="0" w:space="0" w:color="auto"/>
        <w:right w:val="none" w:sz="0" w:space="0" w:color="auto"/>
      </w:divBdr>
    </w:div>
    <w:div w:id="543952858">
      <w:bodyDiv w:val="1"/>
      <w:marLeft w:val="0"/>
      <w:marRight w:val="0"/>
      <w:marTop w:val="0"/>
      <w:marBottom w:val="0"/>
      <w:divBdr>
        <w:top w:val="none" w:sz="0" w:space="0" w:color="auto"/>
        <w:left w:val="none" w:sz="0" w:space="0" w:color="auto"/>
        <w:bottom w:val="none" w:sz="0" w:space="0" w:color="auto"/>
        <w:right w:val="none" w:sz="0" w:space="0" w:color="auto"/>
      </w:divBdr>
    </w:div>
    <w:div w:id="1114515499">
      <w:bodyDiv w:val="1"/>
      <w:marLeft w:val="0"/>
      <w:marRight w:val="0"/>
      <w:marTop w:val="0"/>
      <w:marBottom w:val="0"/>
      <w:divBdr>
        <w:top w:val="none" w:sz="0" w:space="0" w:color="auto"/>
        <w:left w:val="none" w:sz="0" w:space="0" w:color="auto"/>
        <w:bottom w:val="none" w:sz="0" w:space="0" w:color="auto"/>
        <w:right w:val="none" w:sz="0" w:space="0" w:color="auto"/>
      </w:divBdr>
    </w:div>
    <w:div w:id="1188758545">
      <w:bodyDiv w:val="1"/>
      <w:marLeft w:val="0"/>
      <w:marRight w:val="0"/>
      <w:marTop w:val="0"/>
      <w:marBottom w:val="0"/>
      <w:divBdr>
        <w:top w:val="none" w:sz="0" w:space="0" w:color="auto"/>
        <w:left w:val="none" w:sz="0" w:space="0" w:color="auto"/>
        <w:bottom w:val="none" w:sz="0" w:space="0" w:color="auto"/>
        <w:right w:val="none" w:sz="0" w:space="0" w:color="auto"/>
      </w:divBdr>
    </w:div>
    <w:div w:id="1279991088">
      <w:bodyDiv w:val="1"/>
      <w:marLeft w:val="0"/>
      <w:marRight w:val="0"/>
      <w:marTop w:val="0"/>
      <w:marBottom w:val="0"/>
      <w:divBdr>
        <w:top w:val="none" w:sz="0" w:space="0" w:color="auto"/>
        <w:left w:val="none" w:sz="0" w:space="0" w:color="auto"/>
        <w:bottom w:val="none" w:sz="0" w:space="0" w:color="auto"/>
        <w:right w:val="none" w:sz="0" w:space="0" w:color="auto"/>
      </w:divBdr>
    </w:div>
    <w:div w:id="1282806726">
      <w:bodyDiv w:val="1"/>
      <w:marLeft w:val="0"/>
      <w:marRight w:val="0"/>
      <w:marTop w:val="0"/>
      <w:marBottom w:val="0"/>
      <w:divBdr>
        <w:top w:val="none" w:sz="0" w:space="0" w:color="auto"/>
        <w:left w:val="none" w:sz="0" w:space="0" w:color="auto"/>
        <w:bottom w:val="none" w:sz="0" w:space="0" w:color="auto"/>
        <w:right w:val="none" w:sz="0" w:space="0" w:color="auto"/>
      </w:divBdr>
    </w:div>
    <w:div w:id="1341851628">
      <w:bodyDiv w:val="1"/>
      <w:marLeft w:val="0"/>
      <w:marRight w:val="0"/>
      <w:marTop w:val="0"/>
      <w:marBottom w:val="0"/>
      <w:divBdr>
        <w:top w:val="none" w:sz="0" w:space="0" w:color="auto"/>
        <w:left w:val="none" w:sz="0" w:space="0" w:color="auto"/>
        <w:bottom w:val="none" w:sz="0" w:space="0" w:color="auto"/>
        <w:right w:val="none" w:sz="0" w:space="0" w:color="auto"/>
      </w:divBdr>
    </w:div>
    <w:div w:id="1387606038">
      <w:bodyDiv w:val="1"/>
      <w:marLeft w:val="0"/>
      <w:marRight w:val="0"/>
      <w:marTop w:val="0"/>
      <w:marBottom w:val="0"/>
      <w:divBdr>
        <w:top w:val="none" w:sz="0" w:space="0" w:color="auto"/>
        <w:left w:val="none" w:sz="0" w:space="0" w:color="auto"/>
        <w:bottom w:val="none" w:sz="0" w:space="0" w:color="auto"/>
        <w:right w:val="none" w:sz="0" w:space="0" w:color="auto"/>
      </w:divBdr>
    </w:div>
    <w:div w:id="1507792512">
      <w:bodyDiv w:val="1"/>
      <w:marLeft w:val="0"/>
      <w:marRight w:val="0"/>
      <w:marTop w:val="0"/>
      <w:marBottom w:val="0"/>
      <w:divBdr>
        <w:top w:val="none" w:sz="0" w:space="0" w:color="auto"/>
        <w:left w:val="none" w:sz="0" w:space="0" w:color="auto"/>
        <w:bottom w:val="none" w:sz="0" w:space="0" w:color="auto"/>
        <w:right w:val="none" w:sz="0" w:space="0" w:color="auto"/>
      </w:divBdr>
    </w:div>
    <w:div w:id="1614172249">
      <w:bodyDiv w:val="1"/>
      <w:marLeft w:val="0"/>
      <w:marRight w:val="0"/>
      <w:marTop w:val="0"/>
      <w:marBottom w:val="0"/>
      <w:divBdr>
        <w:top w:val="none" w:sz="0" w:space="0" w:color="auto"/>
        <w:left w:val="none" w:sz="0" w:space="0" w:color="auto"/>
        <w:bottom w:val="none" w:sz="0" w:space="0" w:color="auto"/>
        <w:right w:val="none" w:sz="0" w:space="0" w:color="auto"/>
      </w:divBdr>
    </w:div>
    <w:div w:id="1782384006">
      <w:bodyDiv w:val="1"/>
      <w:marLeft w:val="0"/>
      <w:marRight w:val="0"/>
      <w:marTop w:val="0"/>
      <w:marBottom w:val="0"/>
      <w:divBdr>
        <w:top w:val="none" w:sz="0" w:space="0" w:color="auto"/>
        <w:left w:val="none" w:sz="0" w:space="0" w:color="auto"/>
        <w:bottom w:val="none" w:sz="0" w:space="0" w:color="auto"/>
        <w:right w:val="none" w:sz="0" w:space="0" w:color="auto"/>
      </w:divBdr>
    </w:div>
    <w:div w:id="1864198891">
      <w:bodyDiv w:val="1"/>
      <w:marLeft w:val="0"/>
      <w:marRight w:val="0"/>
      <w:marTop w:val="0"/>
      <w:marBottom w:val="0"/>
      <w:divBdr>
        <w:top w:val="none" w:sz="0" w:space="0" w:color="auto"/>
        <w:left w:val="none" w:sz="0" w:space="0" w:color="auto"/>
        <w:bottom w:val="none" w:sz="0" w:space="0" w:color="auto"/>
        <w:right w:val="none" w:sz="0" w:space="0" w:color="auto"/>
      </w:divBdr>
    </w:div>
    <w:div w:id="2005624422">
      <w:bodyDiv w:val="1"/>
      <w:marLeft w:val="0"/>
      <w:marRight w:val="0"/>
      <w:marTop w:val="0"/>
      <w:marBottom w:val="0"/>
      <w:divBdr>
        <w:top w:val="none" w:sz="0" w:space="0" w:color="auto"/>
        <w:left w:val="none" w:sz="0" w:space="0" w:color="auto"/>
        <w:bottom w:val="none" w:sz="0" w:space="0" w:color="auto"/>
        <w:right w:val="none" w:sz="0" w:space="0" w:color="auto"/>
      </w:divBdr>
    </w:div>
    <w:div w:id="210510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FD1494-3000-4418-B680-B17A64C64B4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it-IT"/>
        </a:p>
      </dgm:t>
    </dgm:pt>
    <dgm:pt modelId="{5F1EB9DD-1532-493F-A12F-FC5E9D5DBDE4}">
      <dgm:prSet phldrT="[Testo]" custT="1"/>
      <dgm:spPr/>
      <dgm:t>
        <a:bodyPr/>
        <a:lstStyle/>
        <a:p>
          <a:r>
            <a:rPr lang="it-IT" sz="1200" b="1"/>
            <a:t>COMUNE DI SALGAREDA</a:t>
          </a:r>
        </a:p>
      </dgm:t>
    </dgm:pt>
    <dgm:pt modelId="{81DEF132-DAA6-4AF2-9A97-FAC8D0835A41}" type="parTrans" cxnId="{DD9689C6-C493-413B-A3DE-79A212A5EC85}">
      <dgm:prSet/>
      <dgm:spPr/>
      <dgm:t>
        <a:bodyPr/>
        <a:lstStyle/>
        <a:p>
          <a:endParaRPr lang="it-IT"/>
        </a:p>
      </dgm:t>
    </dgm:pt>
    <dgm:pt modelId="{BDF4320C-0F31-4B33-B152-3ACD66B024CD}" type="sibTrans" cxnId="{DD9689C6-C493-413B-A3DE-79A212A5EC85}">
      <dgm:prSet/>
      <dgm:spPr/>
      <dgm:t>
        <a:bodyPr/>
        <a:lstStyle/>
        <a:p>
          <a:endParaRPr lang="it-IT"/>
        </a:p>
      </dgm:t>
    </dgm:pt>
    <dgm:pt modelId="{0FA683B2-65D0-417E-963E-3EE909C78A9A}">
      <dgm:prSet phldrT="[Testo]" custT="1"/>
      <dgm:spPr/>
      <dgm:t>
        <a:bodyPr/>
        <a:lstStyle/>
        <a:p>
          <a:r>
            <a:rPr lang="it-IT" sz="1200"/>
            <a:t>Piave servizi SRL</a:t>
          </a:r>
        </a:p>
        <a:p>
          <a:r>
            <a:rPr lang="it-IT" sz="1200"/>
            <a:t>(quota: 1,6734%)</a:t>
          </a:r>
        </a:p>
      </dgm:t>
    </dgm:pt>
    <dgm:pt modelId="{B9C2DEFE-E025-4DF2-8B2D-5BA14F6D2533}" type="parTrans" cxnId="{DDCD266C-6A9C-4693-9C74-8A0CFC73B994}">
      <dgm:prSet/>
      <dgm:spPr/>
      <dgm:t>
        <a:bodyPr/>
        <a:lstStyle/>
        <a:p>
          <a:endParaRPr lang="it-IT"/>
        </a:p>
      </dgm:t>
    </dgm:pt>
    <dgm:pt modelId="{E2D885C8-682E-4FF3-B9CE-956796827C73}" type="sibTrans" cxnId="{DDCD266C-6A9C-4693-9C74-8A0CFC73B994}">
      <dgm:prSet/>
      <dgm:spPr/>
      <dgm:t>
        <a:bodyPr/>
        <a:lstStyle/>
        <a:p>
          <a:endParaRPr lang="it-IT"/>
        </a:p>
      </dgm:t>
    </dgm:pt>
    <dgm:pt modelId="{3C70B80F-3EA2-4B0C-8C2F-4BED45E0E2C4}">
      <dgm:prSet custT="1"/>
      <dgm:spPr/>
      <dgm:t>
        <a:bodyPr/>
        <a:lstStyle/>
        <a:p>
          <a:r>
            <a:rPr lang="it-IT" sz="1200"/>
            <a:t>Asco Holding SPA</a:t>
          </a:r>
        </a:p>
        <a:p>
          <a:r>
            <a:rPr lang="it-IT" sz="1200"/>
            <a:t>(quota:2,2%)</a:t>
          </a:r>
        </a:p>
      </dgm:t>
    </dgm:pt>
    <dgm:pt modelId="{D1E49C44-9E9B-4874-9589-8EDF245D6E69}" type="parTrans" cxnId="{38086382-D11D-437B-8C63-06094B3DBFF9}">
      <dgm:prSet/>
      <dgm:spPr/>
      <dgm:t>
        <a:bodyPr/>
        <a:lstStyle/>
        <a:p>
          <a:endParaRPr lang="it-IT"/>
        </a:p>
      </dgm:t>
    </dgm:pt>
    <dgm:pt modelId="{6D1B060D-009E-4494-A099-24A004D20F11}" type="sibTrans" cxnId="{38086382-D11D-437B-8C63-06094B3DBFF9}">
      <dgm:prSet/>
      <dgm:spPr/>
      <dgm:t>
        <a:bodyPr/>
        <a:lstStyle/>
        <a:p>
          <a:endParaRPr lang="it-IT"/>
        </a:p>
      </dgm:t>
    </dgm:pt>
    <dgm:pt modelId="{326C8A23-9D80-4A63-885E-2A44E4FCC6E7}" type="pres">
      <dgm:prSet presAssocID="{9AFD1494-3000-4418-B680-B17A64C64B42}" presName="hierChild1" presStyleCnt="0">
        <dgm:presLayoutVars>
          <dgm:orgChart val="1"/>
          <dgm:chPref val="1"/>
          <dgm:dir/>
          <dgm:animOne val="branch"/>
          <dgm:animLvl val="lvl"/>
          <dgm:resizeHandles/>
        </dgm:presLayoutVars>
      </dgm:prSet>
      <dgm:spPr/>
      <dgm:t>
        <a:bodyPr/>
        <a:lstStyle/>
        <a:p>
          <a:endParaRPr lang="it-IT"/>
        </a:p>
      </dgm:t>
    </dgm:pt>
    <dgm:pt modelId="{B24F4742-6EB5-45C4-AF7A-81049238EB46}" type="pres">
      <dgm:prSet presAssocID="{5F1EB9DD-1532-493F-A12F-FC5E9D5DBDE4}" presName="hierRoot1" presStyleCnt="0">
        <dgm:presLayoutVars>
          <dgm:hierBranch val="init"/>
        </dgm:presLayoutVars>
      </dgm:prSet>
      <dgm:spPr/>
    </dgm:pt>
    <dgm:pt modelId="{D4BFD6FC-EC19-48F2-AB6E-0185D4AE2A22}" type="pres">
      <dgm:prSet presAssocID="{5F1EB9DD-1532-493F-A12F-FC5E9D5DBDE4}" presName="rootComposite1" presStyleCnt="0"/>
      <dgm:spPr/>
    </dgm:pt>
    <dgm:pt modelId="{8582F771-5EAA-4A91-A972-69438AE8FA70}" type="pres">
      <dgm:prSet presAssocID="{5F1EB9DD-1532-493F-A12F-FC5E9D5DBDE4}" presName="rootText1" presStyleLbl="node0" presStyleIdx="0" presStyleCnt="1" custScaleX="150245">
        <dgm:presLayoutVars>
          <dgm:chPref val="3"/>
        </dgm:presLayoutVars>
      </dgm:prSet>
      <dgm:spPr/>
      <dgm:t>
        <a:bodyPr/>
        <a:lstStyle/>
        <a:p>
          <a:endParaRPr lang="it-IT"/>
        </a:p>
      </dgm:t>
    </dgm:pt>
    <dgm:pt modelId="{50485C6D-1C37-42EE-9138-2B69CCFFE083}" type="pres">
      <dgm:prSet presAssocID="{5F1EB9DD-1532-493F-A12F-FC5E9D5DBDE4}" presName="rootConnector1" presStyleLbl="node1" presStyleIdx="0" presStyleCnt="0"/>
      <dgm:spPr/>
      <dgm:t>
        <a:bodyPr/>
        <a:lstStyle/>
        <a:p>
          <a:endParaRPr lang="it-IT"/>
        </a:p>
      </dgm:t>
    </dgm:pt>
    <dgm:pt modelId="{AC41BCD4-B1D7-493D-B3FC-39DBAF84E29C}" type="pres">
      <dgm:prSet presAssocID="{5F1EB9DD-1532-493F-A12F-FC5E9D5DBDE4}" presName="hierChild2" presStyleCnt="0"/>
      <dgm:spPr/>
    </dgm:pt>
    <dgm:pt modelId="{E646AC4C-E144-4AAB-A882-A5E599868DB3}" type="pres">
      <dgm:prSet presAssocID="{B9C2DEFE-E025-4DF2-8B2D-5BA14F6D2533}" presName="Name37" presStyleLbl="parChTrans1D2" presStyleIdx="0" presStyleCnt="2"/>
      <dgm:spPr/>
      <dgm:t>
        <a:bodyPr/>
        <a:lstStyle/>
        <a:p>
          <a:endParaRPr lang="it-IT"/>
        </a:p>
      </dgm:t>
    </dgm:pt>
    <dgm:pt modelId="{4B8551CC-02CF-4679-BFA7-36C8F92EE402}" type="pres">
      <dgm:prSet presAssocID="{0FA683B2-65D0-417E-963E-3EE909C78A9A}" presName="hierRoot2" presStyleCnt="0">
        <dgm:presLayoutVars>
          <dgm:hierBranch val="init"/>
        </dgm:presLayoutVars>
      </dgm:prSet>
      <dgm:spPr/>
    </dgm:pt>
    <dgm:pt modelId="{1411A799-F8C4-42D8-AFEE-C393108FAFF7}" type="pres">
      <dgm:prSet presAssocID="{0FA683B2-65D0-417E-963E-3EE909C78A9A}" presName="rootComposite" presStyleCnt="0"/>
      <dgm:spPr/>
    </dgm:pt>
    <dgm:pt modelId="{ECF1D0B6-D527-46EF-B6C6-AF4A6D158147}" type="pres">
      <dgm:prSet presAssocID="{0FA683B2-65D0-417E-963E-3EE909C78A9A}" presName="rootText" presStyleLbl="node2" presStyleIdx="0" presStyleCnt="2">
        <dgm:presLayoutVars>
          <dgm:chPref val="3"/>
        </dgm:presLayoutVars>
      </dgm:prSet>
      <dgm:spPr/>
      <dgm:t>
        <a:bodyPr/>
        <a:lstStyle/>
        <a:p>
          <a:endParaRPr lang="it-IT"/>
        </a:p>
      </dgm:t>
    </dgm:pt>
    <dgm:pt modelId="{E2C27435-9C0B-4F65-8BB0-9C286D3C03FF}" type="pres">
      <dgm:prSet presAssocID="{0FA683B2-65D0-417E-963E-3EE909C78A9A}" presName="rootConnector" presStyleLbl="node2" presStyleIdx="0" presStyleCnt="2"/>
      <dgm:spPr/>
      <dgm:t>
        <a:bodyPr/>
        <a:lstStyle/>
        <a:p>
          <a:endParaRPr lang="it-IT"/>
        </a:p>
      </dgm:t>
    </dgm:pt>
    <dgm:pt modelId="{BF8C01FC-AD7F-486A-85AE-0F1AA450746E}" type="pres">
      <dgm:prSet presAssocID="{0FA683B2-65D0-417E-963E-3EE909C78A9A}" presName="hierChild4" presStyleCnt="0"/>
      <dgm:spPr/>
    </dgm:pt>
    <dgm:pt modelId="{CB2FB678-2FD9-4B04-8508-8985C5225F19}" type="pres">
      <dgm:prSet presAssocID="{0FA683B2-65D0-417E-963E-3EE909C78A9A}" presName="hierChild5" presStyleCnt="0"/>
      <dgm:spPr/>
    </dgm:pt>
    <dgm:pt modelId="{77809048-9B51-4BC0-B351-22050634674F}" type="pres">
      <dgm:prSet presAssocID="{D1E49C44-9E9B-4874-9589-8EDF245D6E69}" presName="Name37" presStyleLbl="parChTrans1D2" presStyleIdx="1" presStyleCnt="2"/>
      <dgm:spPr/>
      <dgm:t>
        <a:bodyPr/>
        <a:lstStyle/>
        <a:p>
          <a:endParaRPr lang="it-IT"/>
        </a:p>
      </dgm:t>
    </dgm:pt>
    <dgm:pt modelId="{44FA6259-EB2A-4FBA-B565-A8E0BDDDD741}" type="pres">
      <dgm:prSet presAssocID="{3C70B80F-3EA2-4B0C-8C2F-4BED45E0E2C4}" presName="hierRoot2" presStyleCnt="0">
        <dgm:presLayoutVars>
          <dgm:hierBranch val="init"/>
        </dgm:presLayoutVars>
      </dgm:prSet>
      <dgm:spPr/>
    </dgm:pt>
    <dgm:pt modelId="{03A78677-6E92-4455-9EAE-0677B15643B7}" type="pres">
      <dgm:prSet presAssocID="{3C70B80F-3EA2-4B0C-8C2F-4BED45E0E2C4}" presName="rootComposite" presStyleCnt="0"/>
      <dgm:spPr/>
    </dgm:pt>
    <dgm:pt modelId="{0F464EF2-5457-4256-B545-525C2609506E}" type="pres">
      <dgm:prSet presAssocID="{3C70B80F-3EA2-4B0C-8C2F-4BED45E0E2C4}" presName="rootText" presStyleLbl="node2" presStyleIdx="1" presStyleCnt="2">
        <dgm:presLayoutVars>
          <dgm:chPref val="3"/>
        </dgm:presLayoutVars>
      </dgm:prSet>
      <dgm:spPr/>
      <dgm:t>
        <a:bodyPr/>
        <a:lstStyle/>
        <a:p>
          <a:endParaRPr lang="it-IT"/>
        </a:p>
      </dgm:t>
    </dgm:pt>
    <dgm:pt modelId="{830800BD-632E-40F9-840E-EE6D9898F5F2}" type="pres">
      <dgm:prSet presAssocID="{3C70B80F-3EA2-4B0C-8C2F-4BED45E0E2C4}" presName="rootConnector" presStyleLbl="node2" presStyleIdx="1" presStyleCnt="2"/>
      <dgm:spPr/>
      <dgm:t>
        <a:bodyPr/>
        <a:lstStyle/>
        <a:p>
          <a:endParaRPr lang="it-IT"/>
        </a:p>
      </dgm:t>
    </dgm:pt>
    <dgm:pt modelId="{A9DD3B10-9219-463D-88CE-157AD11F1335}" type="pres">
      <dgm:prSet presAssocID="{3C70B80F-3EA2-4B0C-8C2F-4BED45E0E2C4}" presName="hierChild4" presStyleCnt="0"/>
      <dgm:spPr/>
    </dgm:pt>
    <dgm:pt modelId="{0DE6F445-0C16-422C-94A1-156B28F81479}" type="pres">
      <dgm:prSet presAssocID="{3C70B80F-3EA2-4B0C-8C2F-4BED45E0E2C4}" presName="hierChild5" presStyleCnt="0"/>
      <dgm:spPr/>
    </dgm:pt>
    <dgm:pt modelId="{747F5A02-CF97-4048-ADE0-EF7020B6083D}" type="pres">
      <dgm:prSet presAssocID="{5F1EB9DD-1532-493F-A12F-FC5E9D5DBDE4}" presName="hierChild3" presStyleCnt="0"/>
      <dgm:spPr/>
    </dgm:pt>
  </dgm:ptLst>
  <dgm:cxnLst>
    <dgm:cxn modelId="{DD9689C6-C493-413B-A3DE-79A212A5EC85}" srcId="{9AFD1494-3000-4418-B680-B17A64C64B42}" destId="{5F1EB9DD-1532-493F-A12F-FC5E9D5DBDE4}" srcOrd="0" destOrd="0" parTransId="{81DEF132-DAA6-4AF2-9A97-FAC8D0835A41}" sibTransId="{BDF4320C-0F31-4B33-B152-3ACD66B024CD}"/>
    <dgm:cxn modelId="{568D68A3-5092-43F0-B4E4-5AC230B99442}" type="presOf" srcId="{D1E49C44-9E9B-4874-9589-8EDF245D6E69}" destId="{77809048-9B51-4BC0-B351-22050634674F}" srcOrd="0" destOrd="0" presId="urn:microsoft.com/office/officeart/2005/8/layout/orgChart1"/>
    <dgm:cxn modelId="{1BFF9692-81D7-4A60-ACF7-22DD841394E8}" type="presOf" srcId="{0FA683B2-65D0-417E-963E-3EE909C78A9A}" destId="{E2C27435-9C0B-4F65-8BB0-9C286D3C03FF}" srcOrd="1" destOrd="0" presId="urn:microsoft.com/office/officeart/2005/8/layout/orgChart1"/>
    <dgm:cxn modelId="{02919D68-FF3D-4C0F-AAD7-9D5E6D8950F1}" type="presOf" srcId="{5F1EB9DD-1532-493F-A12F-FC5E9D5DBDE4}" destId="{50485C6D-1C37-42EE-9138-2B69CCFFE083}" srcOrd="1" destOrd="0" presId="urn:microsoft.com/office/officeart/2005/8/layout/orgChart1"/>
    <dgm:cxn modelId="{6FAD62EF-C908-40B6-A5A6-836687AE9BEA}" type="presOf" srcId="{0FA683B2-65D0-417E-963E-3EE909C78A9A}" destId="{ECF1D0B6-D527-46EF-B6C6-AF4A6D158147}" srcOrd="0" destOrd="0" presId="urn:microsoft.com/office/officeart/2005/8/layout/orgChart1"/>
    <dgm:cxn modelId="{3B506B00-3808-4D1D-8198-B1C8DD84004B}" type="presOf" srcId="{5F1EB9DD-1532-493F-A12F-FC5E9D5DBDE4}" destId="{8582F771-5EAA-4A91-A972-69438AE8FA70}" srcOrd="0" destOrd="0" presId="urn:microsoft.com/office/officeart/2005/8/layout/orgChart1"/>
    <dgm:cxn modelId="{D99BAE45-EFB5-4C02-9978-D3FD1A293F86}" type="presOf" srcId="{3C70B80F-3EA2-4B0C-8C2F-4BED45E0E2C4}" destId="{830800BD-632E-40F9-840E-EE6D9898F5F2}" srcOrd="1" destOrd="0" presId="urn:microsoft.com/office/officeart/2005/8/layout/orgChart1"/>
    <dgm:cxn modelId="{DDCD266C-6A9C-4693-9C74-8A0CFC73B994}" srcId="{5F1EB9DD-1532-493F-A12F-FC5E9D5DBDE4}" destId="{0FA683B2-65D0-417E-963E-3EE909C78A9A}" srcOrd="0" destOrd="0" parTransId="{B9C2DEFE-E025-4DF2-8B2D-5BA14F6D2533}" sibTransId="{E2D885C8-682E-4FF3-B9CE-956796827C73}"/>
    <dgm:cxn modelId="{38086382-D11D-437B-8C63-06094B3DBFF9}" srcId="{5F1EB9DD-1532-493F-A12F-FC5E9D5DBDE4}" destId="{3C70B80F-3EA2-4B0C-8C2F-4BED45E0E2C4}" srcOrd="1" destOrd="0" parTransId="{D1E49C44-9E9B-4874-9589-8EDF245D6E69}" sibTransId="{6D1B060D-009E-4494-A099-24A004D20F11}"/>
    <dgm:cxn modelId="{1286FF43-7013-473C-9004-57611E2CA78F}" type="presOf" srcId="{3C70B80F-3EA2-4B0C-8C2F-4BED45E0E2C4}" destId="{0F464EF2-5457-4256-B545-525C2609506E}" srcOrd="0" destOrd="0" presId="urn:microsoft.com/office/officeart/2005/8/layout/orgChart1"/>
    <dgm:cxn modelId="{D6F0BAD7-5DF5-455E-8C00-1A20901273BD}" type="presOf" srcId="{9AFD1494-3000-4418-B680-B17A64C64B42}" destId="{326C8A23-9D80-4A63-885E-2A44E4FCC6E7}" srcOrd="0" destOrd="0" presId="urn:microsoft.com/office/officeart/2005/8/layout/orgChart1"/>
    <dgm:cxn modelId="{8798E499-99AA-4BC7-BAD4-E268B631024C}" type="presOf" srcId="{B9C2DEFE-E025-4DF2-8B2D-5BA14F6D2533}" destId="{E646AC4C-E144-4AAB-A882-A5E599868DB3}" srcOrd="0" destOrd="0" presId="urn:microsoft.com/office/officeart/2005/8/layout/orgChart1"/>
    <dgm:cxn modelId="{03DA2835-DD30-456D-A5BA-9BEF8BE83807}" type="presParOf" srcId="{326C8A23-9D80-4A63-885E-2A44E4FCC6E7}" destId="{B24F4742-6EB5-45C4-AF7A-81049238EB46}" srcOrd="0" destOrd="0" presId="urn:microsoft.com/office/officeart/2005/8/layout/orgChart1"/>
    <dgm:cxn modelId="{6A12F8BD-D6F6-4F95-A9E8-4D9DEC2FCD47}" type="presParOf" srcId="{B24F4742-6EB5-45C4-AF7A-81049238EB46}" destId="{D4BFD6FC-EC19-48F2-AB6E-0185D4AE2A22}" srcOrd="0" destOrd="0" presId="urn:microsoft.com/office/officeart/2005/8/layout/orgChart1"/>
    <dgm:cxn modelId="{CFC27622-38CD-49DE-914D-B2D634C9F5F4}" type="presParOf" srcId="{D4BFD6FC-EC19-48F2-AB6E-0185D4AE2A22}" destId="{8582F771-5EAA-4A91-A972-69438AE8FA70}" srcOrd="0" destOrd="0" presId="urn:microsoft.com/office/officeart/2005/8/layout/orgChart1"/>
    <dgm:cxn modelId="{6D59094F-C163-425A-ABDA-228F08D31DC4}" type="presParOf" srcId="{D4BFD6FC-EC19-48F2-AB6E-0185D4AE2A22}" destId="{50485C6D-1C37-42EE-9138-2B69CCFFE083}" srcOrd="1" destOrd="0" presId="urn:microsoft.com/office/officeart/2005/8/layout/orgChart1"/>
    <dgm:cxn modelId="{9FCD1D4E-EBA5-47E9-A76D-A4D0AA6AC80A}" type="presParOf" srcId="{B24F4742-6EB5-45C4-AF7A-81049238EB46}" destId="{AC41BCD4-B1D7-493D-B3FC-39DBAF84E29C}" srcOrd="1" destOrd="0" presId="urn:microsoft.com/office/officeart/2005/8/layout/orgChart1"/>
    <dgm:cxn modelId="{DD6877A3-B8B2-4377-B067-6067D581CD8E}" type="presParOf" srcId="{AC41BCD4-B1D7-493D-B3FC-39DBAF84E29C}" destId="{E646AC4C-E144-4AAB-A882-A5E599868DB3}" srcOrd="0" destOrd="0" presId="urn:microsoft.com/office/officeart/2005/8/layout/orgChart1"/>
    <dgm:cxn modelId="{EFE74955-BC37-40FA-8572-562FBBD7EF6D}" type="presParOf" srcId="{AC41BCD4-B1D7-493D-B3FC-39DBAF84E29C}" destId="{4B8551CC-02CF-4679-BFA7-36C8F92EE402}" srcOrd="1" destOrd="0" presId="urn:microsoft.com/office/officeart/2005/8/layout/orgChart1"/>
    <dgm:cxn modelId="{67C14C9B-928B-4505-BA45-03BE3EBB99A5}" type="presParOf" srcId="{4B8551CC-02CF-4679-BFA7-36C8F92EE402}" destId="{1411A799-F8C4-42D8-AFEE-C393108FAFF7}" srcOrd="0" destOrd="0" presId="urn:microsoft.com/office/officeart/2005/8/layout/orgChart1"/>
    <dgm:cxn modelId="{E381C2E2-C7A9-4ABC-955E-34C3EFE68708}" type="presParOf" srcId="{1411A799-F8C4-42D8-AFEE-C393108FAFF7}" destId="{ECF1D0B6-D527-46EF-B6C6-AF4A6D158147}" srcOrd="0" destOrd="0" presId="urn:microsoft.com/office/officeart/2005/8/layout/orgChart1"/>
    <dgm:cxn modelId="{D5803ACD-C51A-4298-9DB6-BBA8743652D9}" type="presParOf" srcId="{1411A799-F8C4-42D8-AFEE-C393108FAFF7}" destId="{E2C27435-9C0B-4F65-8BB0-9C286D3C03FF}" srcOrd="1" destOrd="0" presId="urn:microsoft.com/office/officeart/2005/8/layout/orgChart1"/>
    <dgm:cxn modelId="{C7464E35-9EC4-41D1-8673-DE801712727B}" type="presParOf" srcId="{4B8551CC-02CF-4679-BFA7-36C8F92EE402}" destId="{BF8C01FC-AD7F-486A-85AE-0F1AA450746E}" srcOrd="1" destOrd="0" presId="urn:microsoft.com/office/officeart/2005/8/layout/orgChart1"/>
    <dgm:cxn modelId="{24EFF816-B576-4F77-B67E-EE6252012BB0}" type="presParOf" srcId="{4B8551CC-02CF-4679-BFA7-36C8F92EE402}" destId="{CB2FB678-2FD9-4B04-8508-8985C5225F19}" srcOrd="2" destOrd="0" presId="urn:microsoft.com/office/officeart/2005/8/layout/orgChart1"/>
    <dgm:cxn modelId="{AE827A5B-2894-4344-AB41-89B7EBCADCD7}" type="presParOf" srcId="{AC41BCD4-B1D7-493D-B3FC-39DBAF84E29C}" destId="{77809048-9B51-4BC0-B351-22050634674F}" srcOrd="2" destOrd="0" presId="urn:microsoft.com/office/officeart/2005/8/layout/orgChart1"/>
    <dgm:cxn modelId="{7E25918C-FBA7-4FA9-881F-E7078F14FB55}" type="presParOf" srcId="{AC41BCD4-B1D7-493D-B3FC-39DBAF84E29C}" destId="{44FA6259-EB2A-4FBA-B565-A8E0BDDDD741}" srcOrd="3" destOrd="0" presId="urn:microsoft.com/office/officeart/2005/8/layout/orgChart1"/>
    <dgm:cxn modelId="{50BD78DF-0385-4F40-92FF-44AB14C00D08}" type="presParOf" srcId="{44FA6259-EB2A-4FBA-B565-A8E0BDDDD741}" destId="{03A78677-6E92-4455-9EAE-0677B15643B7}" srcOrd="0" destOrd="0" presId="urn:microsoft.com/office/officeart/2005/8/layout/orgChart1"/>
    <dgm:cxn modelId="{7CF7620B-B778-4813-A21D-7592596F29EF}" type="presParOf" srcId="{03A78677-6E92-4455-9EAE-0677B15643B7}" destId="{0F464EF2-5457-4256-B545-525C2609506E}" srcOrd="0" destOrd="0" presId="urn:microsoft.com/office/officeart/2005/8/layout/orgChart1"/>
    <dgm:cxn modelId="{01539AA2-869A-4A0E-AE52-25445A17E91C}" type="presParOf" srcId="{03A78677-6E92-4455-9EAE-0677B15643B7}" destId="{830800BD-632E-40F9-840E-EE6D9898F5F2}" srcOrd="1" destOrd="0" presId="urn:microsoft.com/office/officeart/2005/8/layout/orgChart1"/>
    <dgm:cxn modelId="{E075BBD2-A1C2-48EE-B209-5227E45520C7}" type="presParOf" srcId="{44FA6259-EB2A-4FBA-B565-A8E0BDDDD741}" destId="{A9DD3B10-9219-463D-88CE-157AD11F1335}" srcOrd="1" destOrd="0" presId="urn:microsoft.com/office/officeart/2005/8/layout/orgChart1"/>
    <dgm:cxn modelId="{6302228D-D416-4889-B0C8-E8E5BD7D92B5}" type="presParOf" srcId="{44FA6259-EB2A-4FBA-B565-A8E0BDDDD741}" destId="{0DE6F445-0C16-422C-94A1-156B28F81479}" srcOrd="2" destOrd="0" presId="urn:microsoft.com/office/officeart/2005/8/layout/orgChart1"/>
    <dgm:cxn modelId="{57E0721C-E32B-4FE7-B049-A97767AA09DC}" type="presParOf" srcId="{B24F4742-6EB5-45C4-AF7A-81049238EB46}" destId="{747F5A02-CF97-4048-ADE0-EF7020B6083D}"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809048-9B51-4BC0-B351-22050634674F}">
      <dsp:nvSpPr>
        <dsp:cNvPr id="0" name=""/>
        <dsp:cNvSpPr/>
      </dsp:nvSpPr>
      <dsp:spPr>
        <a:xfrm>
          <a:off x="3062816" y="732888"/>
          <a:ext cx="886691" cy="307777"/>
        </a:xfrm>
        <a:custGeom>
          <a:avLst/>
          <a:gdLst/>
          <a:ahLst/>
          <a:cxnLst/>
          <a:rect l="0" t="0" r="0" b="0"/>
          <a:pathLst>
            <a:path>
              <a:moveTo>
                <a:pt x="0" y="0"/>
              </a:moveTo>
              <a:lnTo>
                <a:pt x="0" y="153888"/>
              </a:lnTo>
              <a:lnTo>
                <a:pt x="886691" y="153888"/>
              </a:lnTo>
              <a:lnTo>
                <a:pt x="886691" y="30777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46AC4C-E144-4AAB-A882-A5E599868DB3}">
      <dsp:nvSpPr>
        <dsp:cNvPr id="0" name=""/>
        <dsp:cNvSpPr/>
      </dsp:nvSpPr>
      <dsp:spPr>
        <a:xfrm>
          <a:off x="2176125" y="732888"/>
          <a:ext cx="886691" cy="307777"/>
        </a:xfrm>
        <a:custGeom>
          <a:avLst/>
          <a:gdLst/>
          <a:ahLst/>
          <a:cxnLst/>
          <a:rect l="0" t="0" r="0" b="0"/>
          <a:pathLst>
            <a:path>
              <a:moveTo>
                <a:pt x="886691" y="0"/>
              </a:moveTo>
              <a:lnTo>
                <a:pt x="886691" y="153888"/>
              </a:lnTo>
              <a:lnTo>
                <a:pt x="0" y="153888"/>
              </a:lnTo>
              <a:lnTo>
                <a:pt x="0" y="30777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82F771-5EAA-4A91-A972-69438AE8FA70}">
      <dsp:nvSpPr>
        <dsp:cNvPr id="0" name=""/>
        <dsp:cNvSpPr/>
      </dsp:nvSpPr>
      <dsp:spPr>
        <a:xfrm>
          <a:off x="1961816" y="86"/>
          <a:ext cx="2201999" cy="7328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b="1" kern="1200"/>
            <a:t>COMUNE DI SALGAREDA</a:t>
          </a:r>
        </a:p>
      </dsp:txBody>
      <dsp:txXfrm>
        <a:off x="1961816" y="86"/>
        <a:ext cx="2201999" cy="732802"/>
      </dsp:txXfrm>
    </dsp:sp>
    <dsp:sp modelId="{ECF1D0B6-D527-46EF-B6C6-AF4A6D158147}">
      <dsp:nvSpPr>
        <dsp:cNvPr id="0" name=""/>
        <dsp:cNvSpPr/>
      </dsp:nvSpPr>
      <dsp:spPr>
        <a:xfrm>
          <a:off x="1443322" y="1040666"/>
          <a:ext cx="1465605" cy="7328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Piave servizi SRL</a:t>
          </a:r>
        </a:p>
        <a:p>
          <a:pPr lvl="0" algn="ctr" defTabSz="533400">
            <a:lnSpc>
              <a:spcPct val="90000"/>
            </a:lnSpc>
            <a:spcBef>
              <a:spcPct val="0"/>
            </a:spcBef>
            <a:spcAft>
              <a:spcPct val="35000"/>
            </a:spcAft>
          </a:pPr>
          <a:r>
            <a:rPr lang="it-IT" sz="1200" kern="1200"/>
            <a:t>(quota: 1,6734%)</a:t>
          </a:r>
        </a:p>
      </dsp:txBody>
      <dsp:txXfrm>
        <a:off x="1443322" y="1040666"/>
        <a:ext cx="1465605" cy="732802"/>
      </dsp:txXfrm>
    </dsp:sp>
    <dsp:sp modelId="{0F464EF2-5457-4256-B545-525C2609506E}">
      <dsp:nvSpPr>
        <dsp:cNvPr id="0" name=""/>
        <dsp:cNvSpPr/>
      </dsp:nvSpPr>
      <dsp:spPr>
        <a:xfrm>
          <a:off x="3216705" y="1040666"/>
          <a:ext cx="1465605" cy="7328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Asco Holding SPA</a:t>
          </a:r>
        </a:p>
        <a:p>
          <a:pPr lvl="0" algn="ctr" defTabSz="533400">
            <a:lnSpc>
              <a:spcPct val="90000"/>
            </a:lnSpc>
            <a:spcBef>
              <a:spcPct val="0"/>
            </a:spcBef>
            <a:spcAft>
              <a:spcPct val="35000"/>
            </a:spcAft>
          </a:pPr>
          <a:r>
            <a:rPr lang="it-IT" sz="1200" kern="1200"/>
            <a:t>(quota:2,2%)</a:t>
          </a:r>
        </a:p>
      </dsp:txBody>
      <dsp:txXfrm>
        <a:off x="3216705" y="1040666"/>
        <a:ext cx="1465605" cy="7328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59018-DB1D-472C-8DF3-595103BA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4601</Words>
  <Characters>26231</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Soluzione srl</Company>
  <LinksUpToDate>false</LinksUpToDate>
  <CharactersWithSpaces>30771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RAG1</dc:creator>
  <dc:description>Prodotto protetto dalla disciplina sui diritti d'autore; non divulgabile senza espressa autorizzazione di Soluzione srl</dc:description>
  <cp:lastModifiedBy>Demis Barucco</cp:lastModifiedBy>
  <cp:revision>3</cp:revision>
  <cp:lastPrinted>2016-10-13T08:15:00Z</cp:lastPrinted>
  <dcterms:created xsi:type="dcterms:W3CDTF">2017-03-29T14:16:00Z</dcterms:created>
  <dcterms:modified xsi:type="dcterms:W3CDTF">2017-03-29T14:16:00Z</dcterms:modified>
</cp:coreProperties>
</file>